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04" w:rsidRPr="006F3EEF" w:rsidRDefault="00AF7404" w:rsidP="00146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EEF">
        <w:rPr>
          <w:rFonts w:ascii="Calibri" w:eastAsia="Calibri" w:hAnsi="Calibri" w:cs="Times New Roman"/>
        </w:rPr>
        <w:object w:dxaOrig="820" w:dyaOrig="1080">
          <v:rect id="_x0000_i1025" style="width:41.55pt;height:47.1pt" o:ole="" o:preferrelative="t" stroked="f">
            <v:imagedata r:id="rId7" o:title="" gain="1.25"/>
          </v:rect>
          <o:OLEObject Type="Embed" ProgID="StaticMetafile" ShapeID="_x0000_i1025" DrawAspect="Content" ObjectID="_1717927018" r:id="rId8"/>
        </w:object>
      </w:r>
    </w:p>
    <w:p w:rsidR="00AF7404" w:rsidRPr="006F3EEF" w:rsidRDefault="00AF7404" w:rsidP="00AF7404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 ДЕПУТАТОВ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«МУНИЦИПАЛЬНЫЙ ОКРУГ 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ВОТКИНСКИЙ РАЙОН 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УДМУРТСКОЙ РЕСПУБЛИКИ»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«УДМУРТ ЭЛЬКУНЫСЬ 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ВОТКА ЁРОС МУНИЦИПАЛ ОКРУГ»  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 КЫЛДЫТЭТЫСЬ 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ДЕПУТАТЪЁСЛЭН КЕНЕШСЫ</w:t>
      </w:r>
      <w:r w:rsidRPr="00530EA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</w:t>
      </w:r>
    </w:p>
    <w:p w:rsidR="00AF7404" w:rsidRPr="006F3EEF" w:rsidRDefault="00530EA1" w:rsidP="00AF74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7404" w:rsidRPr="006F3EEF" w:rsidRDefault="00AF7404" w:rsidP="00AF74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r w:rsidRPr="006F3EEF">
        <w:rPr>
          <w:rFonts w:ascii="Times New Roman" w:eastAsia="Calibri" w:hAnsi="Times New Roman" w:cs="Times New Roman"/>
          <w:b/>
          <w:sz w:val="40"/>
          <w:szCs w:val="40"/>
        </w:rPr>
        <w:t>Р Е Ш Е Н И Е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404" w:rsidRPr="00B82A73" w:rsidRDefault="00F152D3" w:rsidP="00AF7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A73">
        <w:rPr>
          <w:rFonts w:ascii="Times New Roman" w:eastAsia="Calibri" w:hAnsi="Times New Roman" w:cs="Times New Roman"/>
          <w:sz w:val="24"/>
          <w:szCs w:val="24"/>
        </w:rPr>
        <w:t>«</w:t>
      </w:r>
      <w:r w:rsidR="00CE2A48">
        <w:rPr>
          <w:rFonts w:ascii="Times New Roman" w:eastAsia="Calibri" w:hAnsi="Times New Roman" w:cs="Times New Roman"/>
          <w:sz w:val="24"/>
          <w:szCs w:val="24"/>
        </w:rPr>
        <w:t>23</w:t>
      </w:r>
      <w:r w:rsidR="00732152" w:rsidRPr="00B82A73">
        <w:rPr>
          <w:rFonts w:ascii="Times New Roman" w:eastAsia="Calibri" w:hAnsi="Times New Roman" w:cs="Times New Roman"/>
          <w:sz w:val="24"/>
          <w:szCs w:val="24"/>
        </w:rPr>
        <w:t xml:space="preserve">» июня </w:t>
      </w:r>
      <w:r w:rsidR="004A7C14" w:rsidRPr="00B82A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2A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7404" w:rsidRPr="00B82A73">
        <w:rPr>
          <w:rFonts w:ascii="Times New Roman" w:eastAsia="Calibri" w:hAnsi="Times New Roman" w:cs="Times New Roman"/>
          <w:sz w:val="24"/>
          <w:szCs w:val="24"/>
        </w:rPr>
        <w:t>20</w:t>
      </w:r>
      <w:r w:rsidR="004A7C14" w:rsidRPr="00B82A73">
        <w:rPr>
          <w:rFonts w:ascii="Times New Roman" w:eastAsia="Calibri" w:hAnsi="Times New Roman" w:cs="Times New Roman"/>
          <w:sz w:val="24"/>
          <w:szCs w:val="24"/>
        </w:rPr>
        <w:t>22</w:t>
      </w:r>
      <w:r w:rsidR="00AF7404" w:rsidRPr="00B82A73">
        <w:rPr>
          <w:rFonts w:ascii="Times New Roman" w:eastAsia="Calibri" w:hAnsi="Times New Roman" w:cs="Times New Roman"/>
          <w:sz w:val="24"/>
          <w:szCs w:val="24"/>
        </w:rPr>
        <w:t xml:space="preserve">  года                                                                                    </w:t>
      </w:r>
      <w:r w:rsidR="00BA208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AF7404" w:rsidRPr="00B82A73">
        <w:rPr>
          <w:rFonts w:ascii="Times New Roman" w:eastAsia="Calibri" w:hAnsi="Times New Roman" w:cs="Times New Roman"/>
          <w:sz w:val="24"/>
          <w:szCs w:val="24"/>
        </w:rPr>
        <w:t>№</w:t>
      </w:r>
      <w:r w:rsidR="00CE2A48">
        <w:rPr>
          <w:rFonts w:ascii="Times New Roman" w:eastAsia="Calibri" w:hAnsi="Times New Roman" w:cs="Times New Roman"/>
          <w:sz w:val="24"/>
          <w:szCs w:val="24"/>
        </w:rPr>
        <w:t>269</w:t>
      </w:r>
    </w:p>
    <w:p w:rsidR="00AF7404" w:rsidRPr="00B82A73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7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Воткинск</w:t>
      </w:r>
    </w:p>
    <w:p w:rsidR="0040509C" w:rsidRPr="00B82A73" w:rsidRDefault="003E1803" w:rsidP="00A8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337A8" w:rsidRDefault="005337A8" w:rsidP="00533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3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организации мероприятий </w:t>
      </w:r>
    </w:p>
    <w:p w:rsidR="00025C25" w:rsidRDefault="005337A8" w:rsidP="00533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3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Pr="00533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соблюдению требований пожарной безопасности</w:t>
      </w:r>
    </w:p>
    <w:p w:rsidR="0040509C" w:rsidRPr="00B82A73" w:rsidRDefault="00025C25" w:rsidP="0040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E1803" w:rsidRDefault="001D447F" w:rsidP="00992C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</w:t>
      </w:r>
      <w:r w:rsidR="0099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9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Воткинской межрайоной прокуратуры   от 29.04.2022 года №36-2022/19-22 </w:t>
      </w:r>
      <w:r w:rsidR="005337A8" w:rsidRPr="00604020">
        <w:rPr>
          <w:rFonts w:ascii="Times New Roman" w:hAnsi="Times New Roman" w:cs="Times New Roman"/>
          <w:sz w:val="24"/>
          <w:szCs w:val="24"/>
        </w:rPr>
        <w:t>«Об организации мероприятий по соблюдению требований пожарной безопас</w:t>
      </w:r>
      <w:r w:rsidR="009635B7">
        <w:rPr>
          <w:rFonts w:ascii="Times New Roman" w:hAnsi="Times New Roman" w:cs="Times New Roman"/>
          <w:sz w:val="24"/>
          <w:szCs w:val="24"/>
        </w:rPr>
        <w:t>ности</w:t>
      </w:r>
      <w:r w:rsidR="00992CAB">
        <w:rPr>
          <w:rFonts w:ascii="Times New Roman" w:hAnsi="Times New Roman" w:cs="Times New Roman"/>
          <w:sz w:val="24"/>
          <w:szCs w:val="24"/>
        </w:rPr>
        <w:t xml:space="preserve">», </w:t>
      </w:r>
      <w:r w:rsidR="009635B7">
        <w:rPr>
          <w:rFonts w:ascii="Times New Roman" w:hAnsi="Times New Roman" w:cs="Times New Roman"/>
          <w:sz w:val="24"/>
          <w:szCs w:val="24"/>
        </w:rPr>
        <w:t xml:space="preserve"> </w:t>
      </w:r>
      <w:r w:rsidR="00992CAB">
        <w:rPr>
          <w:rFonts w:ascii="Times New Roman" w:hAnsi="Times New Roman" w:cs="Times New Roman"/>
          <w:sz w:val="24"/>
          <w:szCs w:val="24"/>
        </w:rPr>
        <w:t xml:space="preserve">заслушав  информацию </w:t>
      </w:r>
      <w:r w:rsidR="005337A8" w:rsidRPr="00604020">
        <w:rPr>
          <w:rFonts w:ascii="Times New Roman" w:hAnsi="Times New Roman" w:cs="Times New Roman"/>
          <w:sz w:val="24"/>
          <w:szCs w:val="24"/>
        </w:rPr>
        <w:t xml:space="preserve"> </w:t>
      </w:r>
      <w:r w:rsidR="00992CAB">
        <w:rPr>
          <w:rFonts w:ascii="Times New Roman" w:hAnsi="Times New Roman" w:cs="Times New Roman"/>
          <w:sz w:val="24"/>
          <w:szCs w:val="24"/>
        </w:rPr>
        <w:t>н</w:t>
      </w:r>
      <w:r w:rsidR="005337A8" w:rsidRPr="005337A8">
        <w:rPr>
          <w:rFonts w:ascii="Times New Roman" w:hAnsi="Times New Roman" w:cs="Times New Roman"/>
          <w:sz w:val="24"/>
          <w:szCs w:val="24"/>
        </w:rPr>
        <w:t>ачальник</w:t>
      </w:r>
      <w:r w:rsidR="00992CAB">
        <w:rPr>
          <w:rFonts w:ascii="Times New Roman" w:hAnsi="Times New Roman" w:cs="Times New Roman"/>
          <w:sz w:val="24"/>
          <w:szCs w:val="24"/>
        </w:rPr>
        <w:t>а</w:t>
      </w:r>
      <w:r w:rsidR="005337A8">
        <w:rPr>
          <w:rFonts w:ascii="Times New Roman" w:hAnsi="Times New Roman" w:cs="Times New Roman"/>
          <w:sz w:val="24"/>
          <w:szCs w:val="24"/>
        </w:rPr>
        <w:t xml:space="preserve">  отдела надзорной деятельности </w:t>
      </w:r>
      <w:r w:rsidR="005337A8" w:rsidRPr="005337A8">
        <w:rPr>
          <w:rFonts w:ascii="Times New Roman" w:hAnsi="Times New Roman" w:cs="Times New Roman"/>
          <w:sz w:val="24"/>
          <w:szCs w:val="24"/>
        </w:rPr>
        <w:t>и профилактической работы  города Воткинска, Воткинского и Шарканского районов Управления надзорной деятельности и профилактической работы Главного управления МЧС Рос</w:t>
      </w:r>
      <w:r w:rsidR="00BF5F37">
        <w:rPr>
          <w:rFonts w:ascii="Times New Roman" w:hAnsi="Times New Roman" w:cs="Times New Roman"/>
          <w:sz w:val="24"/>
          <w:szCs w:val="24"/>
        </w:rPr>
        <w:t>сии по Удмуртской Республике</w:t>
      </w:r>
      <w:bookmarkStart w:id="0" w:name="_GoBack"/>
      <w:bookmarkEnd w:id="0"/>
      <w:r w:rsidR="00BF5F37">
        <w:rPr>
          <w:rFonts w:ascii="Times New Roman" w:hAnsi="Times New Roman" w:cs="Times New Roman"/>
          <w:sz w:val="24"/>
          <w:szCs w:val="24"/>
        </w:rPr>
        <w:t xml:space="preserve"> Сидорова Е.М.,</w:t>
      </w:r>
      <w:r w:rsidR="005337A8">
        <w:rPr>
          <w:rFonts w:ascii="Times New Roman" w:hAnsi="Times New Roman" w:cs="Times New Roman"/>
          <w:sz w:val="24"/>
          <w:szCs w:val="24"/>
        </w:rPr>
        <w:t xml:space="preserve"> </w:t>
      </w:r>
      <w:r w:rsidR="003E1803" w:rsidRPr="003E18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муниципального образования «Муниципальный округ Воткинский район Удмуртской Республики»,</w:t>
      </w:r>
      <w:proofErr w:type="gramEnd"/>
    </w:p>
    <w:p w:rsidR="00992CAB" w:rsidRPr="005337A8" w:rsidRDefault="00992CAB" w:rsidP="00992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509C" w:rsidRPr="00B82A73" w:rsidRDefault="003E1803" w:rsidP="00992CA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CAB" w:rsidRPr="00992C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 «Муниципальный округ Воткинский район  Удмуртской Республики» РЕШАЕТ:</w:t>
      </w:r>
    </w:p>
    <w:p w:rsidR="000F1644" w:rsidRPr="00B82A73" w:rsidRDefault="001D447F" w:rsidP="000F164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Информацию </w:t>
      </w:r>
      <w:r w:rsidRPr="001D4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мероприятий по соблюдению требований пожарной безопасности, законодательства об отходах  производства и потребления», </w:t>
      </w:r>
      <w:r w:rsidR="000F1644" w:rsidRPr="00B82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сведению.</w:t>
      </w:r>
    </w:p>
    <w:p w:rsidR="00B82A73" w:rsidRPr="00B82A73" w:rsidRDefault="00B82A73" w:rsidP="00B82A7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7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F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</w:t>
      </w:r>
      <w:r w:rsidRPr="00B8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размещению на официальном сайте муниципального образования «Муниципальный округ Воткинский  район Удмуртской Республики»  и  в «Вестнике правовых актов муниципального образования  «Муниципальный округ Воткинский  район Удмуртской Республики». </w:t>
      </w:r>
    </w:p>
    <w:p w:rsidR="00B82A73" w:rsidRPr="00B82A73" w:rsidRDefault="00B82A73" w:rsidP="00B82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6F" w:rsidRDefault="009D266F" w:rsidP="00B82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                                 </w:t>
      </w:r>
      <w:r w:rsidR="00CE2A48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Pr="00B8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 </w:t>
      </w:r>
    </w:p>
    <w:p w:rsidR="00BA2087" w:rsidRDefault="00BA2087" w:rsidP="00B82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087" w:rsidRPr="00B82A73" w:rsidRDefault="00BA2087" w:rsidP="00B82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муниципального образования                                     В.В. Шумков</w:t>
      </w:r>
    </w:p>
    <w:p w:rsidR="00531E6F" w:rsidRPr="00B82A73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6F" w:rsidRPr="00B82A73" w:rsidRDefault="00531E6F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7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Воткинск</w:t>
      </w:r>
    </w:p>
    <w:p w:rsidR="00531E6F" w:rsidRPr="00B82A73" w:rsidRDefault="00F152D3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2A4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A8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9240C9" w:rsidRPr="00B8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="004A7C14" w:rsidRPr="00B82A73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531E6F" w:rsidRPr="00B8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31E6F" w:rsidRPr="00B82A73" w:rsidRDefault="00CE2A48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№269</w:t>
      </w:r>
    </w:p>
    <w:p w:rsidR="00A06BC0" w:rsidRDefault="00A06BC0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3D03" w:rsidRDefault="00EB3D03" w:rsidP="00DC0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A6D" w:rsidRDefault="00342A6D" w:rsidP="00342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7B539C" w:rsidRDefault="00D71EDC" w:rsidP="00342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</w:t>
      </w:r>
      <w:r w:rsidR="007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ешению Совета депутатов </w:t>
      </w:r>
    </w:p>
    <w:p w:rsidR="007C6744" w:rsidRDefault="007C6744" w:rsidP="00342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«Муниципальный округ </w:t>
      </w:r>
    </w:p>
    <w:p w:rsidR="007C6744" w:rsidRDefault="007C6744" w:rsidP="00342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 район Удмуртской Республики»</w:t>
      </w:r>
    </w:p>
    <w:p w:rsidR="007C6744" w:rsidRDefault="00EF38A4" w:rsidP="00342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июня 2022 года №269</w:t>
      </w:r>
    </w:p>
    <w:p w:rsidR="007B539C" w:rsidRPr="00342A6D" w:rsidRDefault="007B539C" w:rsidP="00342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744" w:rsidRPr="00025C25" w:rsidRDefault="00342A6D" w:rsidP="00342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организации мероприятий </w:t>
      </w:r>
    </w:p>
    <w:p w:rsidR="00342A6D" w:rsidRPr="00025C25" w:rsidRDefault="007C6744" w:rsidP="007C6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342A6D" w:rsidRPr="00025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025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2A6D" w:rsidRPr="00025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соблюдению т</w:t>
      </w:r>
      <w:r w:rsidR="00025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ребований пожарной безопасности</w:t>
      </w:r>
    </w:p>
    <w:p w:rsidR="00342A6D" w:rsidRPr="00025C25" w:rsidRDefault="00342A6D" w:rsidP="00342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A6D" w:rsidRPr="00342A6D" w:rsidRDefault="00342A6D" w:rsidP="0034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A6D" w:rsidRPr="00342A6D" w:rsidRDefault="00342A6D" w:rsidP="00342A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№131-ФЗ от 06.10.2003г. ст.16 к вопросам местного значения муниципального округа относятся: обеспечение первичных мер пожарной безопасности в границах муниципального округа. Первичные меры пожарной безопасности согласно ст.63 ФЗ №123 от 22.07.2008г. включают в себя:  </w:t>
      </w:r>
    </w:p>
    <w:p w:rsidR="00342A6D" w:rsidRPr="00342A6D" w:rsidRDefault="00342A6D" w:rsidP="00342A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342A6D" w:rsidRPr="00342A6D" w:rsidRDefault="00342A6D" w:rsidP="00342A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342A6D" w:rsidRPr="00342A6D" w:rsidRDefault="00342A6D" w:rsidP="00342A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и организацию выполнения муниципальных целевых программ по вопросам обеспечения пожарной безопасности;</w:t>
      </w:r>
    </w:p>
    <w:p w:rsidR="00342A6D" w:rsidRPr="00342A6D" w:rsidRDefault="00342A6D" w:rsidP="00342A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342A6D" w:rsidRPr="00342A6D" w:rsidRDefault="00342A6D" w:rsidP="00342A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342A6D" w:rsidRPr="00342A6D" w:rsidRDefault="00342A6D" w:rsidP="00342A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беспрепятственного проезда пожарной техники к месту пожара;</w:t>
      </w:r>
    </w:p>
    <w:p w:rsidR="00342A6D" w:rsidRPr="00342A6D" w:rsidRDefault="00342A6D" w:rsidP="00342A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связи и оповещения населения о пожаре;</w:t>
      </w:r>
    </w:p>
    <w:p w:rsidR="00342A6D" w:rsidRPr="00342A6D" w:rsidRDefault="00342A6D" w:rsidP="00342A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342A6D" w:rsidRPr="00342A6D" w:rsidRDefault="00342A6D" w:rsidP="00342A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342A6D" w:rsidRPr="00342A6D" w:rsidRDefault="00342A6D" w:rsidP="00342A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апреле-мае текущего года сотрудниками </w:t>
      </w:r>
      <w:proofErr w:type="spellStart"/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ОНДиПР</w:t>
      </w:r>
      <w:proofErr w:type="spellEnd"/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Воткинска, Воткинского и Шарканского района проведены внеплановые выездные проверки населённых пунктов, подверженных угрозе лесных и ландшафтных пожаров, перечни которых </w:t>
      </w:r>
      <w:hyperlink r:id="rId9" w:anchor="Par2" w:history="1">
        <w:r w:rsidRPr="00342A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утверждены </w:t>
        </w:r>
      </w:hyperlink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распоряжениями Правительства Удмуртской Республики от 22.12.2021 № 1420-р, и № 37-р от 27.01.2022., организованные с целью исполнения пункта 2.4. решения протокола оперативного совещания Совета Безопасности Российской Федерации от 19.01.2022, утвержденного Президентом Российской Федерации от 27.01.2022 № Пр-195.</w:t>
      </w:r>
    </w:p>
    <w:p w:rsidR="00342A6D" w:rsidRPr="00342A6D" w:rsidRDefault="00342A6D" w:rsidP="00342A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проверены 18 сельских населенных пунктов, в ходе которых выявлены следующие основные нарушения требований пожарной безопасности:</w:t>
      </w:r>
    </w:p>
    <w:p w:rsidR="00342A6D" w:rsidRPr="00342A6D" w:rsidRDefault="00342A6D" w:rsidP="00342A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населенном пункте отсутствует наружное противопожарное водоснабжение либо  недостаточное  противопожарное водоснабжение (д. Сидоровы Горы, д. </w:t>
      </w:r>
      <w:proofErr w:type="spellStart"/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Черновской</w:t>
      </w:r>
      <w:proofErr w:type="spellEnd"/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Лесоучасток, д. </w:t>
      </w:r>
      <w:proofErr w:type="spellStart"/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Метляки</w:t>
      </w:r>
      <w:proofErr w:type="spellEnd"/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Костоваты</w:t>
      </w:r>
      <w:proofErr w:type="spellEnd"/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342A6D" w:rsidRPr="00342A6D" w:rsidRDefault="00342A6D" w:rsidP="00342A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естественные </w:t>
      </w:r>
      <w:proofErr w:type="spellStart"/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водоисточники</w:t>
      </w:r>
      <w:proofErr w:type="spellEnd"/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оборудованы подъездом с площадкой (пирсом) с твердым покрытием размером не менее 12 х 12 метров для установки пожарных автомобилей и забора воды в любое время года (д. Б. </w:t>
      </w:r>
      <w:proofErr w:type="spellStart"/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Кивара</w:t>
      </w:r>
      <w:proofErr w:type="spellEnd"/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Черновской</w:t>
      </w:r>
      <w:proofErr w:type="spellEnd"/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Лесоучасток),</w:t>
      </w:r>
    </w:p>
    <w:p w:rsidR="00342A6D" w:rsidRPr="00342A6D" w:rsidRDefault="00342A6D" w:rsidP="00342A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водонапорные башни не  приспособлены для забора воды пожарной техникой в любое время года (д. </w:t>
      </w:r>
      <w:proofErr w:type="spellStart"/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Черепановка</w:t>
      </w:r>
      <w:proofErr w:type="spellEnd"/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Нива, д. Кварса, д. Двигатель, д. </w:t>
      </w:r>
      <w:proofErr w:type="spellStart"/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Фотены</w:t>
      </w:r>
      <w:proofErr w:type="spellEnd"/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Новый, </w:t>
      </w:r>
      <w:proofErr w:type="gramStart"/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Степаново), </w:t>
      </w:r>
    </w:p>
    <w:p w:rsidR="00342A6D" w:rsidRPr="00342A6D" w:rsidRDefault="00342A6D" w:rsidP="00342A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часть установленных в населенном пункте пожарных гидрантов находится в неисправном состоянии (п. Новый, с. Степаново), </w:t>
      </w:r>
    </w:p>
    <w:p w:rsidR="00342A6D" w:rsidRPr="00342A6D" w:rsidRDefault="00342A6D" w:rsidP="00342A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указатели источников наружного противопожарного водоснабжения отсутствуют либо требуют обновления (выцвели) (д. </w:t>
      </w:r>
      <w:proofErr w:type="spellStart"/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Черепановка</w:t>
      </w:r>
      <w:proofErr w:type="spellEnd"/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Новый),</w:t>
      </w:r>
    </w:p>
    <w:p w:rsidR="00342A6D" w:rsidRPr="00342A6D" w:rsidRDefault="00342A6D" w:rsidP="00342A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допускается устройство свалки  горючих отходов на земельных участках, находящихся в муниципальной собственности (д. </w:t>
      </w:r>
      <w:proofErr w:type="spellStart"/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>Б.Кивара</w:t>
      </w:r>
      <w:proofErr w:type="spellEnd"/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Кварса, д. Двигатель, п. Новый), </w:t>
      </w:r>
    </w:p>
    <w:p w:rsidR="00342A6D" w:rsidRPr="00342A6D" w:rsidRDefault="00342A6D" w:rsidP="00342A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выдержаны противопожарные расстояния от строений до лесных насаждений, которые должны составлять не менее 30м. (д. Калиновка, д. Двигатель, п. Новый, д. </w:t>
      </w:r>
      <w:proofErr w:type="spellStart"/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Черновской</w:t>
      </w:r>
      <w:proofErr w:type="spellEnd"/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лесоучасток, д. </w:t>
      </w:r>
      <w:proofErr w:type="spellStart"/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Нижневоткинский</w:t>
      </w:r>
      <w:proofErr w:type="spellEnd"/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Лесоучасток, с. Степаново, д. Беркуты, д. </w:t>
      </w:r>
      <w:proofErr w:type="spellStart"/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Метляки</w:t>
      </w:r>
      <w:proofErr w:type="spellEnd"/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Костоваты</w:t>
      </w:r>
      <w:proofErr w:type="spellEnd"/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</w:t>
      </w:r>
    </w:p>
    <w:p w:rsidR="00342A6D" w:rsidRPr="00342A6D" w:rsidRDefault="00342A6D" w:rsidP="00342A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населенном пункте отсутствуют либо находятся в неисправном состоянии технические средства для оповещения населения о пожаре (д. Сидоровы Горы, д. Черный Ключ), </w:t>
      </w:r>
    </w:p>
    <w:p w:rsidR="00342A6D" w:rsidRPr="00342A6D" w:rsidRDefault="00342A6D" w:rsidP="00342A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границе примыкания населенного пункта с лесными насаждениями не выполнены противопожарные минерализованные полосы шириной не менее 10 метров (д. </w:t>
      </w:r>
      <w:proofErr w:type="spellStart"/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Костоваты</w:t>
      </w:r>
      <w:proofErr w:type="spellEnd"/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42A6D" w:rsidRPr="00342A6D" w:rsidRDefault="00342A6D" w:rsidP="00342A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Выявленные нарушения указывают на ненадлежащее обеспечение первичных мер пожарной безопасности органом местного самоуправления. Вместе с тем, необходимо отметить, что в территориальных отделах фактическая работа должностных лиц отделов организована на высоком уровне, а неисполнение вышеуказанных требований объясняется недостаточностью финансовых средств. Но, в то же время, относительно других районов Удмуртской Республики, сумма заложенных в бюджет района финансовых средств на обеспечение первичных мер пожарной безопасности находится выше среднего показателя. В течение последних 5 лет данная сумма постепенно увеличивается и в бюджете на текущий год составляет 2524000руб. Указанная сумма в текущем году распределена на следующие направления: </w:t>
      </w:r>
    </w:p>
    <w:p w:rsidR="00342A6D" w:rsidRPr="00342A6D" w:rsidRDefault="00342A6D" w:rsidP="00342A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- 1341000руб – заработная плата и стимулирование добровольных пожарных, </w:t>
      </w:r>
    </w:p>
    <w:p w:rsidR="00342A6D" w:rsidRPr="00342A6D" w:rsidRDefault="00342A6D" w:rsidP="00342A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- 484000руб – на ГСМ пожарных автомобилей ДПК и отопление боксов ДПК, </w:t>
      </w:r>
    </w:p>
    <w:p w:rsidR="00342A6D" w:rsidRPr="00342A6D" w:rsidRDefault="00342A6D" w:rsidP="00342A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>- 169000руб – создание минерализованных полос,</w:t>
      </w:r>
    </w:p>
    <w:p w:rsidR="00342A6D" w:rsidRPr="00342A6D" w:rsidRDefault="00342A6D" w:rsidP="00342A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- 36000руб – приобретение автономных дымовых пожарных </w:t>
      </w:r>
      <w:proofErr w:type="spellStart"/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42A6D" w:rsidRPr="00342A6D" w:rsidRDefault="00342A6D" w:rsidP="00342A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- 150000руб  - обслуживание систем оповещения населения, </w:t>
      </w:r>
    </w:p>
    <w:p w:rsidR="00342A6D" w:rsidRPr="00342A6D" w:rsidRDefault="00342A6D" w:rsidP="00342A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>- 72000руб – обслуживание видеокамер по охране лесного фонда в п. Новый,</w:t>
      </w:r>
    </w:p>
    <w:p w:rsidR="00342A6D" w:rsidRPr="00342A6D" w:rsidRDefault="00342A6D" w:rsidP="00342A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- 60000руб – ремонт пожарных гидрантов, </w:t>
      </w:r>
    </w:p>
    <w:p w:rsidR="00342A6D" w:rsidRPr="00342A6D" w:rsidRDefault="00342A6D" w:rsidP="00342A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- 90000руб – ремонт пожарной техники в ДПК, </w:t>
      </w:r>
    </w:p>
    <w:p w:rsidR="00342A6D" w:rsidRPr="00342A6D" w:rsidRDefault="00342A6D" w:rsidP="00342A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- 28000руб – приобретение рукавов в ДПК, </w:t>
      </w:r>
    </w:p>
    <w:p w:rsidR="00342A6D" w:rsidRPr="00342A6D" w:rsidRDefault="00342A6D" w:rsidP="00342A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- 55000руб – приобретение ранцевых огнетушителей для ДПК. </w:t>
      </w:r>
    </w:p>
    <w:p w:rsidR="00342A6D" w:rsidRPr="00342A6D" w:rsidRDefault="00342A6D" w:rsidP="00342A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2A6D" w:rsidRPr="00342A6D" w:rsidRDefault="00342A6D" w:rsidP="00342A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направления также относятся к обеспечению первичных мер пожарной безопасности, и прекращение их финансирования в целом приведут к нарушениям пожарной безопасности на территории округа. Перераспределение указанных заложенных бюджетных средств на выполнение предписаний органов </w:t>
      </w:r>
      <w:proofErr w:type="spellStart"/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госпожнадзора</w:t>
      </w:r>
      <w:proofErr w:type="spellEnd"/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нецелесообразно. Единственным решением по улучшению ситуации по пожарной безопасности в населенных пунктах является планомерное устранение выявленных нарушений, которые устранить без дополнительного финансирования невозможно. Ввиду вышеуказанного прошу рассмотреть возможность дополнительного финансирования территориальных отделов на обеспечение первичных мер пожарной безопасности.  </w:t>
      </w: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2299"/>
        <w:gridCol w:w="2663"/>
      </w:tblGrid>
      <w:tr w:rsidR="00342A6D" w:rsidRPr="00342A6D" w:rsidTr="00342A6D">
        <w:trPr>
          <w:cantSplit/>
          <w:trHeight w:hRule="exact" w:val="953"/>
        </w:trPr>
        <w:tc>
          <w:tcPr>
            <w:tcW w:w="5103" w:type="dxa"/>
          </w:tcPr>
          <w:p w:rsidR="00342A6D" w:rsidRPr="00342A6D" w:rsidRDefault="00342A6D" w:rsidP="00342A6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9" w:type="dxa"/>
          </w:tcPr>
          <w:p w:rsidR="00342A6D" w:rsidRPr="00342A6D" w:rsidRDefault="00342A6D" w:rsidP="00342A6D">
            <w:pPr>
              <w:rPr>
                <w:rFonts w:ascii="Times New Roman" w:eastAsia="Calibri" w:hAnsi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342A6D" w:rsidRPr="00342A6D" w:rsidRDefault="00342A6D" w:rsidP="00342A6D">
            <w:pPr>
              <w:ind w:right="142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42A6D" w:rsidRPr="00342A6D" w:rsidRDefault="00342A6D" w:rsidP="00342A6D">
            <w:pPr>
              <w:ind w:right="142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42A6D" w:rsidRPr="00342A6D" w:rsidRDefault="00342A6D" w:rsidP="00342A6D">
            <w:pPr>
              <w:ind w:right="14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42A6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2A6D" w:rsidRPr="00342A6D" w:rsidRDefault="00342A6D" w:rsidP="00342A6D">
      <w:pPr>
        <w:rPr>
          <w:rFonts w:ascii="Calibri" w:eastAsia="Calibri" w:hAnsi="Calibri" w:cs="Times New Roman"/>
          <w:sz w:val="24"/>
          <w:szCs w:val="24"/>
        </w:rPr>
      </w:pPr>
    </w:p>
    <w:p w:rsidR="00E50B4C" w:rsidRPr="00342A6D" w:rsidRDefault="006A057D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F7404" w:rsidRPr="00342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E50B4C" w:rsidRPr="00342A6D" w:rsidSect="00A8331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E6D0F"/>
    <w:multiLevelType w:val="multilevel"/>
    <w:tmpl w:val="685CF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51D"/>
    <w:rsid w:val="00002713"/>
    <w:rsid w:val="00025C25"/>
    <w:rsid w:val="00031691"/>
    <w:rsid w:val="000B0BCA"/>
    <w:rsid w:val="000F1644"/>
    <w:rsid w:val="001326F4"/>
    <w:rsid w:val="001465A0"/>
    <w:rsid w:val="0016722A"/>
    <w:rsid w:val="0017390A"/>
    <w:rsid w:val="0017751D"/>
    <w:rsid w:val="00190E03"/>
    <w:rsid w:val="001A4173"/>
    <w:rsid w:val="001B6491"/>
    <w:rsid w:val="001D447F"/>
    <w:rsid w:val="002428ED"/>
    <w:rsid w:val="002628FF"/>
    <w:rsid w:val="0027210D"/>
    <w:rsid w:val="00283E93"/>
    <w:rsid w:val="002B49D8"/>
    <w:rsid w:val="003030BC"/>
    <w:rsid w:val="003423A2"/>
    <w:rsid w:val="0034271B"/>
    <w:rsid w:val="00342A6D"/>
    <w:rsid w:val="00346F50"/>
    <w:rsid w:val="00372DF7"/>
    <w:rsid w:val="003E1803"/>
    <w:rsid w:val="0040509C"/>
    <w:rsid w:val="0044062A"/>
    <w:rsid w:val="004A7C14"/>
    <w:rsid w:val="004E2FBC"/>
    <w:rsid w:val="004E782C"/>
    <w:rsid w:val="004F538B"/>
    <w:rsid w:val="00530EA1"/>
    <w:rsid w:val="00531E6F"/>
    <w:rsid w:val="005337A8"/>
    <w:rsid w:val="005359BE"/>
    <w:rsid w:val="00577C80"/>
    <w:rsid w:val="005856DE"/>
    <w:rsid w:val="005A763A"/>
    <w:rsid w:val="005C05EB"/>
    <w:rsid w:val="005F13A6"/>
    <w:rsid w:val="00652B54"/>
    <w:rsid w:val="006A057D"/>
    <w:rsid w:val="006F627D"/>
    <w:rsid w:val="00726B90"/>
    <w:rsid w:val="00732152"/>
    <w:rsid w:val="007829B4"/>
    <w:rsid w:val="00791079"/>
    <w:rsid w:val="007B539C"/>
    <w:rsid w:val="007C6744"/>
    <w:rsid w:val="0089031C"/>
    <w:rsid w:val="00892EB4"/>
    <w:rsid w:val="008C24D5"/>
    <w:rsid w:val="009240C9"/>
    <w:rsid w:val="009635B7"/>
    <w:rsid w:val="00975706"/>
    <w:rsid w:val="00992CAB"/>
    <w:rsid w:val="009C7867"/>
    <w:rsid w:val="009D266F"/>
    <w:rsid w:val="009E2AF2"/>
    <w:rsid w:val="009F3135"/>
    <w:rsid w:val="00A06BC0"/>
    <w:rsid w:val="00A63983"/>
    <w:rsid w:val="00A83313"/>
    <w:rsid w:val="00AC01F6"/>
    <w:rsid w:val="00AE283F"/>
    <w:rsid w:val="00AE3234"/>
    <w:rsid w:val="00AF7404"/>
    <w:rsid w:val="00B5640A"/>
    <w:rsid w:val="00B817D9"/>
    <w:rsid w:val="00B82A73"/>
    <w:rsid w:val="00BA2087"/>
    <w:rsid w:val="00BA5718"/>
    <w:rsid w:val="00BB3663"/>
    <w:rsid w:val="00BB4C24"/>
    <w:rsid w:val="00BE6227"/>
    <w:rsid w:val="00BF55D8"/>
    <w:rsid w:val="00BF5F37"/>
    <w:rsid w:val="00C06230"/>
    <w:rsid w:val="00C56D57"/>
    <w:rsid w:val="00C7787D"/>
    <w:rsid w:val="00CC5A3A"/>
    <w:rsid w:val="00CD6066"/>
    <w:rsid w:val="00CE2A48"/>
    <w:rsid w:val="00D5306F"/>
    <w:rsid w:val="00D566E0"/>
    <w:rsid w:val="00D71EDC"/>
    <w:rsid w:val="00D959D8"/>
    <w:rsid w:val="00DA4102"/>
    <w:rsid w:val="00DC0EA7"/>
    <w:rsid w:val="00E02714"/>
    <w:rsid w:val="00E24574"/>
    <w:rsid w:val="00E321C9"/>
    <w:rsid w:val="00E50B4C"/>
    <w:rsid w:val="00EB3D03"/>
    <w:rsid w:val="00EF38A4"/>
    <w:rsid w:val="00F152D3"/>
    <w:rsid w:val="00F76DF7"/>
    <w:rsid w:val="00FE54B9"/>
    <w:rsid w:val="00F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A6D"/>
    <w:pPr>
      <w:spacing w:after="0" w:line="240" w:lineRule="auto"/>
    </w:pPr>
    <w:rPr>
      <w:rFonts w:ascii="Calibri" w:eastAsia="Times New Roman" w:hAnsi="Calibri" w:cs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Admin\Desktop\2022\&#1089;&#1077;&#1089;&#1089;&#1080;&#1103;\11%20%20&#1089;&#1077;&#1089;&#1089;&#1080;&#1103;\&#1087;&#1088;&#1086;&#1077;&#1082;&#1090;&#1099;\&#1042;4%20&#1057;&#1080;&#1076;&#1086;&#1088;&#1086;&#1074;%20&#1055;&#1086;&#1078;&#1072;&#1088;\&#1048;&#1085;&#1092;&#1086;&#1088;&#1084;&#1072;&#1094;&#1080;&#1103;%20&#1076;&#1083;&#1103;%20&#1057;&#1086;&#1074;&#1077;&#1090;&#1072;%20&#1076;&#1077;&#1087;&#1091;&#1090;&#1072;&#1090;&#1086;&#1074;%2006.06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5FB1D-26CF-41C7-BFB6-72BB2799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60</cp:revision>
  <cp:lastPrinted>2022-06-17T05:48:00Z</cp:lastPrinted>
  <dcterms:created xsi:type="dcterms:W3CDTF">2021-08-19T12:33:00Z</dcterms:created>
  <dcterms:modified xsi:type="dcterms:W3CDTF">2022-06-28T09:11:00Z</dcterms:modified>
</cp:coreProperties>
</file>