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EA3B83">
        <w:rPr>
          <w:b/>
          <w:sz w:val="26"/>
          <w:szCs w:val="26"/>
        </w:rPr>
        <w:t xml:space="preserve">  «Воткинский район»    </w:t>
      </w:r>
      <w:r w:rsidR="008968B5">
        <w:rPr>
          <w:b/>
          <w:sz w:val="26"/>
          <w:szCs w:val="26"/>
        </w:rPr>
        <w:t xml:space="preserve">во втором </w:t>
      </w:r>
      <w:r w:rsidRPr="00EA3B83">
        <w:rPr>
          <w:b/>
          <w:sz w:val="26"/>
          <w:szCs w:val="26"/>
        </w:rPr>
        <w:t xml:space="preserve">  полугодие 2019 года»</w:t>
      </w:r>
    </w:p>
    <w:p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Принято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 xml:space="preserve"> Советом депутатов </w:t>
      </w:r>
      <w:proofErr w:type="gramStart"/>
      <w:r w:rsidRPr="00634DB7">
        <w:rPr>
          <w:sz w:val="26"/>
          <w:szCs w:val="26"/>
        </w:rPr>
        <w:t>муниципального</w:t>
      </w:r>
      <w:proofErr w:type="gramEnd"/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образования «Воткинский район»</w:t>
      </w:r>
    </w:p>
    <w:p w:rsidR="00634DB7" w:rsidRPr="00634DB7" w:rsidRDefault="008968B5" w:rsidP="00634DB7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«___» февраля  2020</w:t>
      </w:r>
      <w:r w:rsidR="00634DB7" w:rsidRPr="00634DB7">
        <w:rPr>
          <w:sz w:val="26"/>
          <w:szCs w:val="26"/>
        </w:rPr>
        <w:t xml:space="preserve"> года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 о состоянии законности, правопорядка и общественной безопасности на территории муниципального об</w:t>
      </w:r>
      <w:r w:rsidR="008968B5">
        <w:rPr>
          <w:sz w:val="26"/>
          <w:szCs w:val="26"/>
        </w:rPr>
        <w:t xml:space="preserve">разования «Воткинский район»  во втором </w:t>
      </w:r>
      <w:r w:rsidRPr="00634DB7">
        <w:rPr>
          <w:sz w:val="26"/>
          <w:szCs w:val="26"/>
        </w:rPr>
        <w:t xml:space="preserve"> полугодии 2019 года </w:t>
      </w:r>
      <w:r w:rsidR="005320B5">
        <w:rPr>
          <w:sz w:val="26"/>
          <w:szCs w:val="26"/>
        </w:rPr>
        <w:t>заместителя м</w:t>
      </w:r>
      <w:r w:rsidRPr="00634DB7">
        <w:rPr>
          <w:sz w:val="26"/>
          <w:szCs w:val="26"/>
        </w:rPr>
        <w:t>ежмуниципа</w:t>
      </w:r>
      <w:r w:rsidR="00336CE9">
        <w:rPr>
          <w:sz w:val="26"/>
          <w:szCs w:val="26"/>
        </w:rPr>
        <w:t>льного прокурора -</w:t>
      </w:r>
      <w:r w:rsidR="005320B5">
        <w:rPr>
          <w:sz w:val="26"/>
          <w:szCs w:val="26"/>
        </w:rPr>
        <w:t xml:space="preserve"> </w:t>
      </w:r>
      <w:proofErr w:type="spellStart"/>
      <w:r w:rsidR="005320B5">
        <w:rPr>
          <w:sz w:val="26"/>
          <w:szCs w:val="26"/>
        </w:rPr>
        <w:t>Мурадова</w:t>
      </w:r>
      <w:proofErr w:type="spellEnd"/>
      <w:r w:rsidR="005320B5">
        <w:rPr>
          <w:sz w:val="26"/>
          <w:szCs w:val="26"/>
        </w:rPr>
        <w:t xml:space="preserve"> Э.Б</w:t>
      </w:r>
      <w:r w:rsidRPr="00634DB7">
        <w:rPr>
          <w:sz w:val="26"/>
          <w:szCs w:val="26"/>
        </w:rPr>
        <w:t>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</w:t>
      </w:r>
      <w:r w:rsidR="008968B5">
        <w:rPr>
          <w:sz w:val="25"/>
          <w:szCs w:val="25"/>
        </w:rPr>
        <w:t xml:space="preserve">ния «Воткинский район» во втором </w:t>
      </w:r>
      <w:r w:rsidRPr="00634DB7">
        <w:rPr>
          <w:sz w:val="25"/>
          <w:szCs w:val="25"/>
        </w:rPr>
        <w:t xml:space="preserve">  полугодии 2019 года»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863270" w:rsidRDefault="00863270" w:rsidP="00863270">
      <w:pPr>
        <w:jc w:val="both"/>
      </w:pPr>
    </w:p>
    <w:p w:rsidR="00F94BD7" w:rsidRPr="00F94BD7" w:rsidRDefault="006B6434" w:rsidP="00F94BD7">
      <w:pPr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5"/>
          <w:szCs w:val="25"/>
        </w:rPr>
        <w:t xml:space="preserve"> </w:t>
      </w: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466BD8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«05»  сентября </w:t>
      </w:r>
      <w:r w:rsidR="00B62FCB" w:rsidRPr="00B62FCB">
        <w:rPr>
          <w:sz w:val="26"/>
          <w:szCs w:val="26"/>
        </w:rPr>
        <w:t>2019 года</w:t>
      </w:r>
    </w:p>
    <w:p w:rsidR="00B62FCB" w:rsidRPr="00B62FCB" w:rsidRDefault="00466BD8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№232</w:t>
      </w: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p w:rsidR="00F94BD7" w:rsidRPr="00F94BD7" w:rsidRDefault="00F94BD7" w:rsidP="00F94BD7">
      <w:pPr>
        <w:jc w:val="both"/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F94BD7" w:rsidRPr="00257652" w:rsidRDefault="00257652" w:rsidP="00257652">
      <w:pPr>
        <w:jc w:val="center"/>
        <w:rPr>
          <w:rFonts w:eastAsiaTheme="minorEastAsia"/>
          <w:b/>
        </w:rPr>
      </w:pPr>
      <w:r w:rsidRPr="00257652">
        <w:rPr>
          <w:rFonts w:eastAsiaTheme="minorEastAsia"/>
          <w:b/>
        </w:rPr>
        <w:lastRenderedPageBreak/>
        <w:t>Информацию о состоянии законности, правопорядка и общественной безопасности на  территории муниц</w:t>
      </w:r>
      <w:bookmarkStart w:id="0" w:name="_GoBack"/>
      <w:bookmarkEnd w:id="0"/>
      <w:r w:rsidRPr="00257652">
        <w:rPr>
          <w:rFonts w:eastAsiaTheme="minorEastAsia"/>
          <w:b/>
        </w:rPr>
        <w:t>ипального образования «Воткинский район» во втором   полугодии 2019 года»</w:t>
      </w:r>
    </w:p>
    <w:p w:rsidR="00257652" w:rsidRDefault="00257652" w:rsidP="00257652">
      <w:pPr>
        <w:ind w:firstLine="720"/>
        <w:jc w:val="both"/>
        <w:rPr>
          <w:sz w:val="28"/>
          <w:szCs w:val="28"/>
        </w:rPr>
      </w:pP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Анализ оперативной обстановки на территории Воткинского района по итогам 2019 года свидетельствует о том, что уровень преступности в сравнении с аналогичным периодом прошлого года изменился в сторону роста зарегистрированных преступлений (на 13,3%), в количественном выражении 256 преступлений против 226 за 12 месяцев 2018 года.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Количество расследованных преступлений снизилось с 172 до 164,  раскрываемость преступлений осталась на уровне аналогичного периода прошлого года.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Показатели </w:t>
      </w:r>
      <w:proofErr w:type="gramStart"/>
      <w:r w:rsidRPr="00257652">
        <w:rPr>
          <w:sz w:val="28"/>
          <w:szCs w:val="28"/>
        </w:rPr>
        <w:t>криминогенной обстановки</w:t>
      </w:r>
      <w:proofErr w:type="gramEnd"/>
      <w:r w:rsidRPr="00257652">
        <w:rPr>
          <w:sz w:val="28"/>
          <w:szCs w:val="28"/>
        </w:rPr>
        <w:t xml:space="preserve"> за 12 месяцев 2019 года в сравнении с аналогичным периодом прошлого года указывают на то, что основным изменениям подвержены такие виды преступлений, как кража, грабежи, хищение имущества путем мошенничества.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Рост количества краж имущества произошел за счет квалифицированных краж, таких как,  краж из квартир, краж транспортных средств, а также краж с банковских счетов, а равно в отношении электронных денежных средств.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Одной из причин, послуживших росту преступлений указанной категории, следует отметить излишнюю доверчивость граждан, которые, несмотря на всю очевидность обмана, осуществляют перевод денежных сре</w:t>
      </w:r>
      <w:proofErr w:type="gramStart"/>
      <w:r w:rsidRPr="00257652">
        <w:rPr>
          <w:sz w:val="28"/>
          <w:szCs w:val="28"/>
        </w:rPr>
        <w:t>дств зл</w:t>
      </w:r>
      <w:proofErr w:type="gramEnd"/>
      <w:r w:rsidRPr="00257652">
        <w:rPr>
          <w:sz w:val="28"/>
          <w:szCs w:val="28"/>
        </w:rPr>
        <w:t xml:space="preserve">оумышленнику, отсутствие систем защиты от производства сомнительных операций, а также ослабление профилактической работы со стороны органов полиции.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Несмотря на принимаемые правоохранительными органами меры, продолжает существовать тенденция к росту числа преступлений, связанных с кражами денежных сре</w:t>
      </w:r>
      <w:proofErr w:type="gramStart"/>
      <w:r w:rsidRPr="00257652">
        <w:rPr>
          <w:sz w:val="28"/>
          <w:szCs w:val="28"/>
        </w:rPr>
        <w:t>дств с б</w:t>
      </w:r>
      <w:proofErr w:type="gramEnd"/>
      <w:r w:rsidRPr="00257652">
        <w:rPr>
          <w:sz w:val="28"/>
          <w:szCs w:val="28"/>
        </w:rPr>
        <w:t>анковских счетов граждан, в связи с чем, проблема остается актуальной.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В целях снижения негативной динамики роста количества указанных преступлений, учитывая, что в соответствии с п. 5 ч. 1 ст. 5 Федерального закона от 23.06.2016 № 182-ФЗ «Об основах системы профилактики правонарушений в Российской Федерации» органы местного самоуправления являются субъектами профилактики правонарушений, необходимо распространить среди населения материалы информационного характера.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Одним из наиболее важных направлений деятельности межрайонной прокуратуры является осуществление надзора за исполнением законодательства в сфере </w:t>
      </w:r>
      <w:r w:rsidRPr="00257652">
        <w:rPr>
          <w:b/>
          <w:sz w:val="28"/>
          <w:szCs w:val="28"/>
        </w:rPr>
        <w:t>жилищно-коммунального хозяйства</w:t>
      </w:r>
      <w:r w:rsidRPr="00257652">
        <w:rPr>
          <w:sz w:val="28"/>
          <w:szCs w:val="28"/>
        </w:rPr>
        <w:t xml:space="preserve">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При реализации полномочий в указанном направлении во  2 полугодии 2019 года межрайонным прокурором особое внимание уделено вопросам обеспечения граждан жилыми помещениями. </w:t>
      </w:r>
    </w:p>
    <w:p w:rsidR="00257652" w:rsidRPr="00257652" w:rsidRDefault="00257652" w:rsidP="00257652">
      <w:pPr>
        <w:ind w:firstLine="708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По обращению гражданина выявлен факт предоставления по договору социального найма жилого помещения, не отвечающего требованиям безопасности. </w:t>
      </w:r>
    </w:p>
    <w:p w:rsidR="00257652" w:rsidRPr="00257652" w:rsidRDefault="00257652" w:rsidP="00257652">
      <w:pPr>
        <w:ind w:firstLine="708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При наличии оснований для признания помещения аварийным, угрозы жизни и здоровью проживающих в жилом помещении лиц, вопрос о проведении </w:t>
      </w:r>
      <w:r w:rsidRPr="00257652">
        <w:rPr>
          <w:sz w:val="28"/>
          <w:szCs w:val="28"/>
        </w:rPr>
        <w:lastRenderedPageBreak/>
        <w:t xml:space="preserve">обследования жилого дома специализированной организацией со стороны собственника – Администрации МО «Воткинский район» не решен. </w:t>
      </w:r>
    </w:p>
    <w:p w:rsidR="00257652" w:rsidRPr="00257652" w:rsidRDefault="00257652" w:rsidP="00257652">
      <w:pPr>
        <w:ind w:firstLine="708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Администрацией МО «Воткинский район» не осуществлен капитальный ремонт жилого помещения при выявлении оснований для его проведения в 2012 году.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В связи с выявленным нарушением в адрес Главы МО «Воткинский район» внесено представление об устранении нарушений закона, вместе с тем, в связи с отсутствием финансирования вопрос о предоставлении заявителю жилого помещения не решен.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Проверкой, проведенной межрайонной прокуратурой в ноябре 2019 года на предмет соответствия образовательных организаций и организаций культуры требованиям антитеррористической защищенности, выявлено, что 9 организаций не соответствуют в полной мере требованиям пожарной безопасности и антитеррористической защищенности (допускаются повторные нарушения). Во всех организациях образования и культуры не осуществляется подготовка и переподготовка должностных лиц (работников) по вопросам работы со служебной информацией ограниченного распространения. Кроме того,  не актуализируются паспорта безопасности объектов.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В связи, с чем предлагаю провести в Администрации МО «Воткинский район» учебу с руководителями учреждений образования и культуры по работе со служебной информацией, паспортами безопасности.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На территории Воткинского района имеются предприятия, находящиеся в стадии банкротства и имеющие крупную задолженность по выплате заработной платы – ООО «</w:t>
      </w:r>
      <w:proofErr w:type="spellStart"/>
      <w:r w:rsidRPr="00257652">
        <w:rPr>
          <w:sz w:val="28"/>
          <w:szCs w:val="28"/>
        </w:rPr>
        <w:t>Подводнефтегазсервис</w:t>
      </w:r>
      <w:proofErr w:type="spellEnd"/>
      <w:r w:rsidRPr="00257652">
        <w:rPr>
          <w:sz w:val="28"/>
          <w:szCs w:val="28"/>
        </w:rPr>
        <w:t>» п. Новый (задолженность составляет 27 324 360,07 рублей), ООО «</w:t>
      </w:r>
      <w:proofErr w:type="spellStart"/>
      <w:r w:rsidRPr="00257652">
        <w:rPr>
          <w:sz w:val="28"/>
          <w:szCs w:val="28"/>
        </w:rPr>
        <w:t>Стройинвест</w:t>
      </w:r>
      <w:proofErr w:type="spellEnd"/>
      <w:r w:rsidRPr="00257652">
        <w:rPr>
          <w:sz w:val="28"/>
          <w:szCs w:val="28"/>
        </w:rPr>
        <w:t>» п. Новый (размер задолженность составляет 1 720 000 рублей).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У данных организаций имеется имущество, реализация которого осуществляется на торговых площадках, в том числе базы предприятий, стоимость которых оценивается в 17 миллионов рублей и 95 миллионов рублей соответственно, кроме того, имеется  движимое и недвижимое имущество.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Данное имущество длительное время не реализуется, в </w:t>
      </w:r>
      <w:proofErr w:type="gramStart"/>
      <w:r w:rsidRPr="00257652">
        <w:rPr>
          <w:sz w:val="28"/>
          <w:szCs w:val="28"/>
        </w:rPr>
        <w:t>связи</w:t>
      </w:r>
      <w:proofErr w:type="gramEnd"/>
      <w:r w:rsidRPr="00257652">
        <w:rPr>
          <w:sz w:val="28"/>
          <w:szCs w:val="28"/>
        </w:rPr>
        <w:t xml:space="preserve"> с чем предлагаю оказать содействие конкурсным управляющим ООО «</w:t>
      </w:r>
      <w:proofErr w:type="spellStart"/>
      <w:r w:rsidRPr="00257652">
        <w:rPr>
          <w:sz w:val="28"/>
          <w:szCs w:val="28"/>
        </w:rPr>
        <w:t>Подводнефтегазсервис</w:t>
      </w:r>
      <w:proofErr w:type="spellEnd"/>
      <w:r w:rsidRPr="00257652">
        <w:rPr>
          <w:sz w:val="28"/>
          <w:szCs w:val="28"/>
        </w:rPr>
        <w:t>» и ООО «</w:t>
      </w:r>
      <w:proofErr w:type="spellStart"/>
      <w:r w:rsidRPr="00257652">
        <w:rPr>
          <w:sz w:val="28"/>
          <w:szCs w:val="28"/>
        </w:rPr>
        <w:t>Стройинвест</w:t>
      </w:r>
      <w:proofErr w:type="spellEnd"/>
      <w:r w:rsidRPr="00257652">
        <w:rPr>
          <w:sz w:val="28"/>
          <w:szCs w:val="28"/>
        </w:rPr>
        <w:t xml:space="preserve">» в целях скорейшей реализации имущества.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В сфере </w:t>
      </w:r>
      <w:r w:rsidRPr="00257652">
        <w:rPr>
          <w:b/>
          <w:sz w:val="28"/>
          <w:szCs w:val="28"/>
        </w:rPr>
        <w:t>рассмотрения обращений граждан и юридических лиц</w:t>
      </w:r>
      <w:r w:rsidRPr="00257652">
        <w:rPr>
          <w:sz w:val="28"/>
          <w:szCs w:val="28"/>
        </w:rPr>
        <w:t xml:space="preserve"> в 2019 году</w:t>
      </w:r>
      <w:r w:rsidRPr="00257652">
        <w:rPr>
          <w:b/>
          <w:sz w:val="28"/>
          <w:szCs w:val="28"/>
        </w:rPr>
        <w:t xml:space="preserve"> </w:t>
      </w:r>
      <w:r w:rsidRPr="00257652">
        <w:rPr>
          <w:sz w:val="28"/>
          <w:szCs w:val="28"/>
        </w:rPr>
        <w:t>межрайонной прокуратурой выявлялись нарушения в деятельности должностных лиц Администрации МО «Воткинский район», касающиеся нарушения сроков рассмотрения обращений, их необоснованного продления, предоставления ответа не по всем доводам, указанным в заявлении.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proofErr w:type="gramStart"/>
      <w:r w:rsidRPr="00257652">
        <w:rPr>
          <w:sz w:val="28"/>
          <w:szCs w:val="28"/>
        </w:rPr>
        <w:t>В целях устранения нарушений Федерального закона от 02.05.2006 № 59-ФЗ «О порядке рассмотрения обращений граждан Российской Федерации» межрайонным прокурором Главе МО «Воткинский район» внесено 3 представления, в адрес Главы МО «Камское» 1 представление, 2 должностных лица привлечены к дисциплинарной ответственности, 2 должностных лица Администрации МО «Воткинский район» привлечены к административной ответственности по ст. 5.59 КоАП РФ.</w:t>
      </w:r>
      <w:proofErr w:type="gramEnd"/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lastRenderedPageBreak/>
        <w:t>Причинами указанных нарушений явилось отсутствие надлежащего контроля вышестоящими должностными лицами Администрации МО «Воткинский район» за рассмотрением обращений граждан и юридических лиц подчиненными сотрудниками.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Анализ поступающих в органы прокуратуры и органы местного самоуправления обращений в сфере </w:t>
      </w:r>
      <w:r w:rsidRPr="00257652">
        <w:rPr>
          <w:b/>
          <w:sz w:val="28"/>
          <w:szCs w:val="28"/>
        </w:rPr>
        <w:t>профилактики преступлений и правонарушений</w:t>
      </w:r>
      <w:r w:rsidRPr="00257652">
        <w:rPr>
          <w:sz w:val="28"/>
          <w:szCs w:val="28"/>
        </w:rPr>
        <w:t>, в том числе в семейно-бытовой сфере показал, что основной причиной нарушения прав граждан на благоприятные жилищные условия является злоупотребление алкогольными напитками, а также использование жилого помещения не по назначению.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Вопросы активизации работы по профилактике правонарушений и преступлений в жилищно-бытовой сфере на системной основе обсуждаются на заседаниях рабочей группы </w:t>
      </w:r>
      <w:proofErr w:type="gramStart"/>
      <w:r w:rsidRPr="00257652">
        <w:rPr>
          <w:sz w:val="28"/>
          <w:szCs w:val="28"/>
        </w:rPr>
        <w:t>при</w:t>
      </w:r>
      <w:proofErr w:type="gramEnd"/>
      <w:r w:rsidRPr="00257652">
        <w:rPr>
          <w:sz w:val="28"/>
          <w:szCs w:val="28"/>
        </w:rPr>
        <w:t xml:space="preserve"> </w:t>
      </w:r>
      <w:proofErr w:type="gramStart"/>
      <w:r w:rsidRPr="00257652">
        <w:rPr>
          <w:sz w:val="28"/>
          <w:szCs w:val="28"/>
        </w:rPr>
        <w:t>Воткинском</w:t>
      </w:r>
      <w:proofErr w:type="gramEnd"/>
      <w:r w:rsidRPr="00257652">
        <w:rPr>
          <w:sz w:val="28"/>
          <w:szCs w:val="28"/>
        </w:rPr>
        <w:t xml:space="preserve"> межрайонном прокуроре по вопросам профилактики антиобщественного поведения в жилищно-бытовой сфере.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При этом</w:t>
      </w:r>
      <w:proofErr w:type="gramStart"/>
      <w:r w:rsidRPr="00257652">
        <w:rPr>
          <w:sz w:val="28"/>
          <w:szCs w:val="28"/>
        </w:rPr>
        <w:t>,</w:t>
      </w:r>
      <w:proofErr w:type="gramEnd"/>
      <w:r w:rsidRPr="00257652">
        <w:rPr>
          <w:sz w:val="28"/>
          <w:szCs w:val="28"/>
        </w:rPr>
        <w:t xml:space="preserve"> Администрации МО «Воткинский район» следует обратить особое внимание на реализацию Федерального закона от 23.06.2016 № 182-ФЗ «Об основах системы профилактики правонарушений в Российской Федерации».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При принятии муниципальных программ по профилактике правонарушений учитывать направления и виды профилактической работы, предусмотренные указанным Федеральным законом.</w:t>
      </w:r>
    </w:p>
    <w:p w:rsidR="00257652" w:rsidRPr="00257652" w:rsidRDefault="00257652" w:rsidP="00257652">
      <w:pPr>
        <w:ind w:firstLine="709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Кроме того, считаю необходимым активизировать работу по информированию жителей Воткинского района по вопросам профилактики правонарушений и преступлений, совершаемых в бытовой сфере, обратив особое внимание о доведении информации по социальной адаптации, </w:t>
      </w:r>
      <w:proofErr w:type="spellStart"/>
      <w:r w:rsidRPr="00257652">
        <w:rPr>
          <w:sz w:val="28"/>
          <w:szCs w:val="28"/>
        </w:rPr>
        <w:t>ресоциализации</w:t>
      </w:r>
      <w:proofErr w:type="spellEnd"/>
      <w:r w:rsidRPr="00257652">
        <w:rPr>
          <w:sz w:val="28"/>
          <w:szCs w:val="28"/>
        </w:rPr>
        <w:t>, социальной реабилитации, помощи лицам, пострадавшим от правонарушений или подверженным риску стать таковыми.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В целях профилактики правонарушений в жилищно-бытовой сфере административной комиссии МО «Воткинский район» необходимо систематически проводить рейдовые мероприятия по выявлению фактов продажи на территории МО «Воткинский район» алкогольной продукции в ночное время.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Проблемными остаются вопросы ликвидации </w:t>
      </w:r>
      <w:r w:rsidRPr="00257652">
        <w:rPr>
          <w:b/>
          <w:sz w:val="28"/>
          <w:szCs w:val="28"/>
        </w:rPr>
        <w:t>несанкционированных свалок</w:t>
      </w:r>
      <w:r w:rsidRPr="00257652">
        <w:rPr>
          <w:sz w:val="28"/>
          <w:szCs w:val="28"/>
        </w:rPr>
        <w:t xml:space="preserve">, расположенных на территории Воткинского района, а также создания мест накопления твердых коммунальных отходов на территориях сельских поселений в соответствии с требованиями градостроительного и санитарно-эпидемиологического законодательства.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В связи с тем, что в 2019 году контейнерные площадки оборудованы не во всех сельских поселениях Воткинского района, предлагаю в 2020 году принять дополнительные меры к обустройству необходимого количества контейнерных площадок. Кроме того, предлагаю во взаимодействии с органами местного самоуправления сельских поселений при проведении мероприятий в рамках муниципального контроля особое внимание уделять выявлению несанкционированных свалок на территории района, для последующего принятия своевременных мер по их ликвидации.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Отдельного внимания заслуживает вопрос обеспечения </w:t>
      </w:r>
      <w:r w:rsidRPr="00257652">
        <w:rPr>
          <w:b/>
          <w:sz w:val="28"/>
          <w:szCs w:val="28"/>
        </w:rPr>
        <w:t>безопасности людей на водных объектах</w:t>
      </w:r>
      <w:r w:rsidRPr="00257652">
        <w:rPr>
          <w:sz w:val="28"/>
          <w:szCs w:val="28"/>
        </w:rPr>
        <w:t xml:space="preserve">. Воткинской межрайонной прокуратурой в 2018 и </w:t>
      </w:r>
      <w:r w:rsidRPr="00257652">
        <w:rPr>
          <w:sz w:val="28"/>
          <w:szCs w:val="28"/>
        </w:rPr>
        <w:lastRenderedPageBreak/>
        <w:t xml:space="preserve">2019 </w:t>
      </w:r>
      <w:proofErr w:type="gramStart"/>
      <w:r w:rsidRPr="00257652">
        <w:rPr>
          <w:sz w:val="28"/>
          <w:szCs w:val="28"/>
        </w:rPr>
        <w:t>годах</w:t>
      </w:r>
      <w:proofErr w:type="gramEnd"/>
      <w:r w:rsidRPr="00257652">
        <w:rPr>
          <w:sz w:val="28"/>
          <w:szCs w:val="28"/>
        </w:rPr>
        <w:t xml:space="preserve"> выявлялись нарушения в деятельности органов местного самоуправления Воткинского района, выразившиеся в непринятии мер по ограничению доступа граждан к водным объектам в местах, не предусмотренных для купания и отдыха граждан. Учитывая изложенное, предлагаю заблаговременно до начала купального сезона 2020 года принять меры по обустройству дополнительных мест для купания населения на территории района, а также по ограничению доступа граждан, в том числе несовершеннолетних к водным объектам, где купание запрещено.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В 2019 году на поднадзорной территории на 15 % увеличилось количество лиц, привлеченных к административной ответственности за совершение правонарушений </w:t>
      </w:r>
      <w:r w:rsidRPr="00257652">
        <w:rPr>
          <w:b/>
          <w:sz w:val="28"/>
          <w:szCs w:val="28"/>
        </w:rPr>
        <w:t>в сфере незаконного оборота наркотических средств</w:t>
      </w:r>
      <w:r w:rsidRPr="00257652">
        <w:rPr>
          <w:sz w:val="28"/>
          <w:szCs w:val="28"/>
        </w:rPr>
        <w:t xml:space="preserve">. Реализация органами местного самоуправления Воткинского района мероприятий </w:t>
      </w:r>
      <w:proofErr w:type="spellStart"/>
      <w:r w:rsidRPr="00257652">
        <w:rPr>
          <w:sz w:val="28"/>
          <w:szCs w:val="28"/>
        </w:rPr>
        <w:t>анитинаркотической</w:t>
      </w:r>
      <w:proofErr w:type="spellEnd"/>
      <w:r w:rsidRPr="00257652">
        <w:rPr>
          <w:sz w:val="28"/>
          <w:szCs w:val="28"/>
        </w:rPr>
        <w:t xml:space="preserve"> направленности не отвечает остроте складывающейся ситуации. При реализации муниципальной программы в сфере противодействия незаконному обороту наркотических средств в 2020 году предлагаю акцентировать внимание на проведении мероприятий по противодействию злоупотреблению наркотиками и их незаконному обороту не только среди несовершеннолетних, но и среди взрослого населения муниципального образования «Воткинский район».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Анализ состояния законности в деятельности органов местного самоуправления МО «Воткинский район» в сфере нормотворчества по итогам 2019 года свидетельствует о ненадлежащем исполнении обязанности по своевременному приведению в соответствие с действующим законодательством принятых нормативных правовых актов, в </w:t>
      </w:r>
      <w:proofErr w:type="gramStart"/>
      <w:r w:rsidRPr="00257652">
        <w:rPr>
          <w:sz w:val="28"/>
          <w:szCs w:val="28"/>
        </w:rPr>
        <w:t>связи</w:t>
      </w:r>
      <w:proofErr w:type="gramEnd"/>
      <w:r w:rsidRPr="00257652">
        <w:rPr>
          <w:sz w:val="28"/>
          <w:szCs w:val="28"/>
        </w:rPr>
        <w:t xml:space="preserve"> с чем предлагаю в 2020 году уделить особое внимание данному вопросу. 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Межрайонной прокуратурой в 2019 году выявлены нарушения земельного законодательства в  Администрации МО «Воткинский район».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>Проведенной проверкой установлено, что гражданка, являясь муниципальным служащим Администрации МО «Воткинский район», в 2014 году направила заявление о предоставлении бесплатно земельного участка, указав в заявлении заведомо недостоверные сведения о месте проживания и об отсутствии земельных участков в пользовании и в собственности.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Должностные лица Управления муниципального имущества и земельными ресурсами Администрации МО «Воткинский район» не провели проверку достоверности предоставленных ей сведений о ее имуществе и имуществе членов семьи.  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В нарушение  требований Земельного кодекса Российской Федерации,  постановлением Главы МО «Воткинский район»  сотрудник </w:t>
      </w:r>
      <w:proofErr w:type="gramStart"/>
      <w:r w:rsidRPr="00257652">
        <w:rPr>
          <w:sz w:val="28"/>
          <w:szCs w:val="28"/>
        </w:rPr>
        <w:t>поставлена</w:t>
      </w:r>
      <w:proofErr w:type="gramEnd"/>
      <w:r w:rsidRPr="00257652">
        <w:rPr>
          <w:sz w:val="28"/>
          <w:szCs w:val="28"/>
        </w:rPr>
        <w:t xml:space="preserve"> на учет в качестве гражданина, нуждающегося в жилом помещении в целях бесплатного предоставления земельного участка, в 2015 году ей предоставлен без проведения торгов в аренду на 20 лет земельный участок площадью 1200 </w:t>
      </w:r>
      <w:proofErr w:type="spellStart"/>
      <w:r w:rsidRPr="00257652">
        <w:rPr>
          <w:sz w:val="28"/>
          <w:szCs w:val="28"/>
        </w:rPr>
        <w:t>кв.м</w:t>
      </w:r>
      <w:proofErr w:type="spellEnd"/>
      <w:r w:rsidRPr="00257652">
        <w:rPr>
          <w:sz w:val="28"/>
          <w:szCs w:val="28"/>
        </w:rPr>
        <w:t>.</w:t>
      </w:r>
    </w:p>
    <w:p w:rsidR="00257652" w:rsidRPr="00257652" w:rsidRDefault="00257652" w:rsidP="00257652">
      <w:pPr>
        <w:ind w:firstLine="720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По аналогичным основаниям в 2015 году без проведения торгов заключен договор аренды, на основании которого бесплатно предоставлен в аренду земельный участок сестре указанного муниципального служащего. </w:t>
      </w:r>
    </w:p>
    <w:p w:rsidR="00257652" w:rsidRPr="00257652" w:rsidRDefault="00257652" w:rsidP="00257652">
      <w:pPr>
        <w:ind w:firstLine="708"/>
        <w:jc w:val="both"/>
        <w:rPr>
          <w:sz w:val="28"/>
          <w:szCs w:val="28"/>
        </w:rPr>
      </w:pPr>
      <w:r w:rsidRPr="00257652">
        <w:rPr>
          <w:sz w:val="28"/>
          <w:szCs w:val="28"/>
        </w:rPr>
        <w:t xml:space="preserve">По выявленным нарушениям Воткинским межрайонным прокурором внесено представление Главе МО «Воткинский район», которое признано </w:t>
      </w:r>
      <w:r w:rsidRPr="00257652">
        <w:rPr>
          <w:sz w:val="28"/>
          <w:szCs w:val="28"/>
        </w:rPr>
        <w:lastRenderedPageBreak/>
        <w:t>обоснованным. В суд направлено исковое заявление о признании сделки (договора аренды) ничтожной, которое находится на рассмотрении.</w:t>
      </w:r>
    </w:p>
    <w:p w:rsidR="00863270" w:rsidRPr="00331127" w:rsidRDefault="00863270" w:rsidP="00863270">
      <w:pPr>
        <w:jc w:val="both"/>
      </w:pPr>
    </w:p>
    <w:sectPr w:rsidR="00863270" w:rsidRPr="00331127" w:rsidSect="00F0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0C" w:rsidRDefault="0086020C" w:rsidP="000428BA">
      <w:r>
        <w:separator/>
      </w:r>
    </w:p>
  </w:endnote>
  <w:endnote w:type="continuationSeparator" w:id="0">
    <w:p w:rsidR="0086020C" w:rsidRDefault="0086020C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0C" w:rsidRDefault="0086020C" w:rsidP="000428BA">
      <w:r>
        <w:separator/>
      </w:r>
    </w:p>
  </w:footnote>
  <w:footnote w:type="continuationSeparator" w:id="0">
    <w:p w:rsidR="0086020C" w:rsidRDefault="0086020C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060ED4" w:rsidP="00060ED4">
    <w:pPr>
      <w:pStyle w:val="a8"/>
    </w:pPr>
    <w:r>
      <w:tab/>
    </w:r>
    <w:r w:rsidR="007B0EC4"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41B"/>
    <w:rsid w:val="001A68ED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516A7"/>
    <w:rsid w:val="00257652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36CE9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20C"/>
    <w:rsid w:val="00860CCC"/>
    <w:rsid w:val="00860D6B"/>
    <w:rsid w:val="00863270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paragraph" w:customStyle="1" w:styleId="ad">
    <w:name w:val=" Знак Знак Знак Знак Знак Знак Знак"/>
    <w:basedOn w:val="a"/>
    <w:autoRedefine/>
    <w:rsid w:val="00257652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7973-8B84-4534-B10E-AED106AC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18</cp:revision>
  <cp:lastPrinted>2019-06-06T05:38:00Z</cp:lastPrinted>
  <dcterms:created xsi:type="dcterms:W3CDTF">2019-04-26T09:48:00Z</dcterms:created>
  <dcterms:modified xsi:type="dcterms:W3CDTF">2020-02-14T09:45:00Z</dcterms:modified>
</cp:coreProperties>
</file>