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B4DD2" w14:textId="4B8AEFB9" w:rsidR="004A63C4" w:rsidRPr="00615341" w:rsidRDefault="00C233C9" w:rsidP="004A63C4">
      <w:pPr>
        <w:spacing w:after="0"/>
        <w:jc w:val="right"/>
        <w:rPr>
          <w:rFonts w:ascii="PT Root UI Bold" w:hAnsi="PT Root UI Bold" w:cs="Arial"/>
          <w:bCs/>
          <w:color w:val="282A2E" w:themeColor="text1"/>
          <w:sz w:val="20"/>
          <w:szCs w:val="20"/>
        </w:rPr>
      </w:pPr>
      <w:r>
        <w:rPr>
          <w:rFonts w:ascii="Arial" w:hAnsi="Arial" w:cs="Arial"/>
          <w:noProof/>
          <w:color w:val="282A2E"/>
          <w:lang w:eastAsia="ru-RU"/>
        </w:rPr>
        <w:drawing>
          <wp:anchor distT="0" distB="0" distL="114300" distR="114300" simplePos="0" relativeHeight="251656189" behindDoc="0" locked="0" layoutInCell="1" allowOverlap="1" wp14:anchorId="0429939E" wp14:editId="62CBE570">
            <wp:simplePos x="0" y="0"/>
            <wp:positionH relativeFrom="column">
              <wp:posOffset>-288290</wp:posOffset>
            </wp:positionH>
            <wp:positionV relativeFrom="paragraph">
              <wp:posOffset>-276860</wp:posOffset>
            </wp:positionV>
            <wp:extent cx="3389566" cy="12240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Официальный_горизонтальный_черно-белый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9566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4618" w:rsidRPr="00615341">
        <w:rPr>
          <w:rFonts w:ascii="PT Root UI Bold" w:hAnsi="PT Root UI Bold" w:cs="Arial"/>
          <w:noProof/>
          <w:color w:val="282A2E"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 wp14:anchorId="0C58979F" wp14:editId="7BD133C3">
            <wp:simplePos x="0" y="0"/>
            <wp:positionH relativeFrom="page">
              <wp:align>left</wp:align>
            </wp:positionH>
            <wp:positionV relativeFrom="paragraph">
              <wp:posOffset>-360046</wp:posOffset>
            </wp:positionV>
            <wp:extent cx="737062" cy="10695419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есс-релиз@4x-8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062" cy="106954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63C4" w:rsidRPr="00615341">
        <w:rPr>
          <w:rFonts w:ascii="PT Root UI Bold" w:hAnsi="PT Root UI Bold" w:cs="Arial"/>
          <w:bCs/>
          <w:color w:val="282A2E" w:themeColor="text1"/>
          <w:sz w:val="20"/>
          <w:szCs w:val="20"/>
        </w:rPr>
        <w:t xml:space="preserve">Пресс-служба </w:t>
      </w:r>
      <w:r w:rsidR="005B3909">
        <w:rPr>
          <w:rFonts w:ascii="PT Root UI Bold" w:hAnsi="PT Root UI Bold" w:cs="Arial"/>
          <w:bCs/>
          <w:color w:val="282A2E" w:themeColor="text1"/>
          <w:sz w:val="20"/>
          <w:szCs w:val="20"/>
        </w:rPr>
        <w:t>Удмурт</w:t>
      </w:r>
      <w:r w:rsidR="004A63C4" w:rsidRPr="00615341">
        <w:rPr>
          <w:rFonts w:ascii="PT Root UI Bold" w:hAnsi="PT Root UI Bold" w:cs="Arial"/>
          <w:bCs/>
          <w:color w:val="282A2E" w:themeColor="text1"/>
          <w:sz w:val="20"/>
          <w:szCs w:val="20"/>
        </w:rPr>
        <w:t>стата</w:t>
      </w:r>
    </w:p>
    <w:p w14:paraId="02E54909" w14:textId="0FA29207" w:rsidR="004A63C4" w:rsidRPr="00615341" w:rsidRDefault="004A63C4" w:rsidP="004A63C4">
      <w:pPr>
        <w:spacing w:after="0"/>
        <w:jc w:val="right"/>
        <w:rPr>
          <w:rFonts w:ascii="PT Root UI" w:hAnsi="PT Root UI" w:cs="Arial"/>
          <w:color w:val="282A2E" w:themeColor="text1"/>
          <w:sz w:val="20"/>
          <w:szCs w:val="20"/>
        </w:rPr>
      </w:pPr>
      <w:r w:rsidRPr="00615341">
        <w:rPr>
          <w:rFonts w:ascii="PT Root UI" w:hAnsi="PT Root UI" w:cs="Arial"/>
          <w:color w:val="282A2E" w:themeColor="text1"/>
          <w:sz w:val="20"/>
          <w:szCs w:val="20"/>
        </w:rPr>
        <w:t>Телефон: +7 (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3412</w:t>
      </w:r>
      <w:r w:rsidRPr="00615341">
        <w:rPr>
          <w:rFonts w:ascii="PT Root UI" w:hAnsi="PT Root UI" w:cs="Arial"/>
          <w:color w:val="282A2E" w:themeColor="text1"/>
          <w:sz w:val="20"/>
          <w:szCs w:val="20"/>
        </w:rPr>
        <w:t>) 6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9</w:t>
      </w:r>
      <w:r w:rsidRPr="00615341">
        <w:rPr>
          <w:rFonts w:ascii="PT Root UI" w:hAnsi="PT Root UI" w:cs="Arial"/>
          <w:color w:val="282A2E" w:themeColor="text1"/>
          <w:sz w:val="20"/>
          <w:szCs w:val="20"/>
        </w:rPr>
        <w:t>-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50</w:t>
      </w:r>
      <w:r w:rsidRPr="00615341">
        <w:rPr>
          <w:rFonts w:ascii="PT Root UI" w:hAnsi="PT Root UI" w:cs="Arial"/>
          <w:color w:val="282A2E" w:themeColor="text1"/>
          <w:sz w:val="20"/>
          <w:szCs w:val="20"/>
        </w:rPr>
        <w:t>-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35</w:t>
      </w:r>
    </w:p>
    <w:p w14:paraId="312F8648" w14:textId="7D0F6094" w:rsidR="004A63C4" w:rsidRPr="00CB1876" w:rsidRDefault="004A63C4" w:rsidP="004A63C4">
      <w:pPr>
        <w:jc w:val="right"/>
        <w:rPr>
          <w:rFonts w:ascii="PT Root UI" w:hAnsi="PT Root UI" w:cs="Arial"/>
          <w:color w:val="282A2E" w:themeColor="text1"/>
          <w:sz w:val="18"/>
          <w:szCs w:val="18"/>
        </w:rPr>
      </w:pPr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e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>-</w:t>
      </w:r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mail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 xml:space="preserve">: </w:t>
      </w:r>
      <w:r w:rsidR="005B3909" w:rsidRPr="00CB1876">
        <w:rPr>
          <w:rFonts w:ascii="PT Root UI" w:hAnsi="PT Root UI" w:cs="Arial"/>
          <w:color w:val="282A2E" w:themeColor="text1"/>
          <w:sz w:val="20"/>
          <w:szCs w:val="20"/>
        </w:rPr>
        <w:t>18.01.2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>@</w:t>
      </w:r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rosstat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>.</w:t>
      </w:r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gov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>.</w:t>
      </w:r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ru</w:t>
      </w:r>
    </w:p>
    <w:p w14:paraId="162910DD" w14:textId="1EDB7F74" w:rsidR="004A63C4" w:rsidRPr="00CB1876" w:rsidRDefault="004A63C4" w:rsidP="00C965D0">
      <w:pPr>
        <w:pStyle w:val="a3"/>
        <w:spacing w:line="259" w:lineRule="auto"/>
        <w:ind w:right="1985"/>
        <w:rPr>
          <w:rFonts w:ascii="Arial" w:hAnsi="Arial" w:cs="Arial"/>
          <w:noProof/>
          <w:color w:val="282A2E"/>
          <w:sz w:val="26"/>
          <w:szCs w:val="26"/>
        </w:rPr>
      </w:pPr>
    </w:p>
    <w:p w14:paraId="6DDA1368" w14:textId="0652202A" w:rsidR="004A63C4" w:rsidRPr="00CB1876" w:rsidRDefault="004A63C4" w:rsidP="00C965D0">
      <w:pPr>
        <w:pStyle w:val="a3"/>
        <w:spacing w:line="259" w:lineRule="auto"/>
        <w:ind w:right="1985"/>
        <w:rPr>
          <w:rFonts w:ascii="Arial" w:hAnsi="Arial" w:cs="Arial"/>
          <w:noProof/>
          <w:color w:val="282A2E"/>
          <w:sz w:val="26"/>
          <w:szCs w:val="26"/>
        </w:rPr>
      </w:pPr>
    </w:p>
    <w:p w14:paraId="3F0F8D3C" w14:textId="7A2F3202" w:rsidR="00D55929" w:rsidRPr="00615341" w:rsidRDefault="00843273" w:rsidP="00C965D0">
      <w:pPr>
        <w:pStyle w:val="a3"/>
        <w:spacing w:line="259" w:lineRule="auto"/>
        <w:ind w:right="1985"/>
        <w:rPr>
          <w:rFonts w:ascii="PT Root UI" w:hAnsi="PT Root UI" w:cs="Arial"/>
          <w:noProof/>
          <w:color w:val="282A2E"/>
          <w:sz w:val="26"/>
          <w:szCs w:val="26"/>
        </w:rPr>
      </w:pPr>
      <w:r w:rsidRPr="00615341">
        <w:rPr>
          <w:rFonts w:ascii="PT Root UI" w:hAnsi="PT Root UI" w:cs="Arial"/>
          <w:noProof/>
          <w:color w:val="282A2E"/>
          <w:sz w:val="26"/>
          <w:szCs w:val="26"/>
        </w:rPr>
        <w:t>Информационное сообщение для СМИ</w:t>
      </w:r>
    </w:p>
    <w:p w14:paraId="5E9B2DEC" w14:textId="6A333605" w:rsidR="00D55929" w:rsidRPr="00615341" w:rsidRDefault="000C2211" w:rsidP="00C965D0">
      <w:pPr>
        <w:pStyle w:val="a3"/>
        <w:tabs>
          <w:tab w:val="clear" w:pos="9355"/>
          <w:tab w:val="center" w:pos="8645"/>
        </w:tabs>
        <w:spacing w:line="259" w:lineRule="auto"/>
        <w:ind w:right="1985"/>
        <w:rPr>
          <w:rFonts w:ascii="PT Root UI Bold" w:hAnsi="PT Root UI Bold" w:cs="Arial"/>
          <w:bCs/>
          <w:noProof/>
          <w:color w:val="282A2E"/>
          <w:sz w:val="26"/>
          <w:szCs w:val="26"/>
        </w:rPr>
      </w:pPr>
      <w:r>
        <w:rPr>
          <w:rFonts w:ascii="PT Root UI Bold" w:hAnsi="PT Root UI Bold" w:cs="Arial"/>
          <w:bCs/>
          <w:noProof/>
          <w:color w:val="282A2E"/>
          <w:sz w:val="26"/>
          <w:szCs w:val="26"/>
        </w:rPr>
        <w:t>5</w:t>
      </w:r>
      <w:r w:rsidR="00D55929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 xml:space="preserve"> </w:t>
      </w:r>
      <w:r w:rsidR="005B3909">
        <w:rPr>
          <w:rFonts w:ascii="PT Root UI Bold" w:hAnsi="PT Root UI Bold" w:cs="Arial"/>
          <w:bCs/>
          <w:noProof/>
          <w:color w:val="282A2E"/>
          <w:sz w:val="26"/>
          <w:szCs w:val="26"/>
        </w:rPr>
        <w:t>июн</w:t>
      </w:r>
      <w:r w:rsidR="00843273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>я</w:t>
      </w:r>
      <w:r w:rsidR="00D55929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 xml:space="preserve"> 202</w:t>
      </w:r>
      <w:r w:rsidR="005B3909">
        <w:rPr>
          <w:rFonts w:ascii="PT Root UI Bold" w:hAnsi="PT Root UI Bold" w:cs="Arial"/>
          <w:bCs/>
          <w:noProof/>
          <w:color w:val="282A2E"/>
          <w:sz w:val="26"/>
          <w:szCs w:val="26"/>
        </w:rPr>
        <w:t>6</w:t>
      </w:r>
      <w:r w:rsidR="00843273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 xml:space="preserve">, </w:t>
      </w:r>
      <w:r w:rsidR="005B3909">
        <w:rPr>
          <w:rFonts w:ascii="PT Root UI Bold" w:hAnsi="PT Root UI Bold" w:cs="Arial"/>
          <w:bCs/>
          <w:noProof/>
          <w:color w:val="282A2E"/>
          <w:sz w:val="26"/>
          <w:szCs w:val="26"/>
        </w:rPr>
        <w:t>Ижевск</w:t>
      </w:r>
    </w:p>
    <w:p w14:paraId="4F502DF9" w14:textId="4FAFDC38" w:rsidR="002D799B" w:rsidRPr="00615341" w:rsidRDefault="000C2211" w:rsidP="00C965D0">
      <w:pPr>
        <w:spacing w:after="0"/>
        <w:ind w:right="-2"/>
        <w:rPr>
          <w:rFonts w:ascii="PT Root UI Bold" w:hAnsi="PT Root UI Bold" w:cs="Arial"/>
          <w:bCs/>
          <w:color w:val="0A61AE"/>
        </w:rPr>
      </w:pPr>
      <w:r>
        <w:rPr>
          <w:rFonts w:ascii="PT Root UI Bold" w:hAnsi="PT Root UI Bold" w:cs="Arial"/>
          <w:bCs/>
          <w:noProof/>
          <w:color w:val="0A61AE"/>
          <w:sz w:val="32"/>
          <w:szCs w:val="32"/>
        </w:rPr>
        <w:t xml:space="preserve">ФИНАНСОВЫЕ ВЛОЖЕНИЯ ОРГАНИЗАЦИЙ </w:t>
      </w:r>
      <w:r>
        <w:rPr>
          <w:rFonts w:ascii="PT Root UI Bold" w:hAnsi="PT Root UI Bold" w:cs="Arial"/>
          <w:bCs/>
          <w:noProof/>
          <w:color w:val="0A61AE"/>
          <w:sz w:val="32"/>
          <w:szCs w:val="32"/>
        </w:rPr>
        <w:br/>
        <w:t xml:space="preserve">ЗА 1 КВАРТАЛ </w:t>
      </w:r>
      <w:r w:rsidR="006E0A9C">
        <w:rPr>
          <w:rFonts w:ascii="PT Root UI Bold" w:hAnsi="PT Root UI Bold" w:cs="Arial"/>
          <w:bCs/>
          <w:noProof/>
          <w:color w:val="0A61AE"/>
          <w:sz w:val="32"/>
          <w:szCs w:val="32"/>
        </w:rPr>
        <w:t>202</w:t>
      </w:r>
      <w:r w:rsidR="00CB1876">
        <w:rPr>
          <w:rFonts w:ascii="PT Root UI Bold" w:hAnsi="PT Root UI Bold" w:cs="Arial"/>
          <w:bCs/>
          <w:noProof/>
          <w:color w:val="0A61AE"/>
          <w:sz w:val="32"/>
          <w:szCs w:val="32"/>
        </w:rPr>
        <w:t>6</w:t>
      </w:r>
      <w:r w:rsidR="00843273" w:rsidRPr="00615341">
        <w:rPr>
          <w:rFonts w:ascii="PT Root UI Bold" w:hAnsi="PT Root UI Bold" w:cs="Arial"/>
          <w:bCs/>
          <w:noProof/>
          <w:color w:val="0A61AE"/>
          <w:sz w:val="32"/>
          <w:szCs w:val="32"/>
        </w:rPr>
        <w:t xml:space="preserve"> ГОДА</w:t>
      </w:r>
    </w:p>
    <w:p w14:paraId="4B3BA33F" w14:textId="551C62D5" w:rsidR="00843273" w:rsidRDefault="00843273" w:rsidP="00F438E2">
      <w:pPr>
        <w:jc w:val="both"/>
        <w:rPr>
          <w:rFonts w:ascii="Arial" w:hAnsi="Arial" w:cs="Arial"/>
          <w:color w:val="282A2E"/>
        </w:rPr>
      </w:pPr>
    </w:p>
    <w:p w14:paraId="11FCAE44" w14:textId="5282D882" w:rsidR="000C2211" w:rsidRPr="000C2211" w:rsidRDefault="000C2211" w:rsidP="000C2211">
      <w:pPr>
        <w:ind w:firstLine="567"/>
        <w:jc w:val="both"/>
        <w:rPr>
          <w:rFonts w:eastAsia="Times New Roman" w:cs="Arial"/>
          <w:color w:val="282A2E"/>
          <w:lang w:eastAsia="ru-RU"/>
        </w:rPr>
      </w:pPr>
      <w:r w:rsidRPr="000C2211">
        <w:rPr>
          <w:rFonts w:eastAsia="Times New Roman" w:cs="Arial"/>
          <w:color w:val="282A2E"/>
          <w:lang w:eastAsia="ru-RU"/>
        </w:rPr>
        <w:t xml:space="preserve">Организации Удмуртской Республики (кроме субъектов малого предпринимательства, бюджетных организаций, банков, страховых организаций </w:t>
      </w:r>
      <w:r w:rsidR="005548D8">
        <w:rPr>
          <w:rFonts w:eastAsia="Times New Roman" w:cs="Arial"/>
          <w:color w:val="282A2E"/>
          <w:lang w:eastAsia="ru-RU"/>
        </w:rPr>
        <w:br/>
      </w:r>
      <w:r w:rsidRPr="000C2211">
        <w:rPr>
          <w:rFonts w:eastAsia="Times New Roman" w:cs="Arial"/>
          <w:color w:val="282A2E"/>
          <w:lang w:eastAsia="ru-RU"/>
        </w:rPr>
        <w:t xml:space="preserve">и негосударственных пенсионных фондов) инвестировали за </w:t>
      </w:r>
      <w:r w:rsidR="005548D8">
        <w:rPr>
          <w:rFonts w:eastAsia="Times New Roman" w:cs="Arial"/>
          <w:color w:val="282A2E"/>
          <w:lang w:eastAsia="ru-RU"/>
        </w:rPr>
        <w:t>1</w:t>
      </w:r>
      <w:r w:rsidRPr="000C2211">
        <w:rPr>
          <w:rFonts w:eastAsia="Times New Roman" w:cs="Arial"/>
          <w:color w:val="282A2E"/>
          <w:lang w:eastAsia="ru-RU"/>
        </w:rPr>
        <w:t xml:space="preserve"> квартал 2026 года </w:t>
      </w:r>
      <w:r w:rsidR="005548D8">
        <w:rPr>
          <w:rFonts w:eastAsia="Times New Roman" w:cs="Arial"/>
          <w:color w:val="282A2E"/>
          <w:lang w:eastAsia="ru-RU"/>
        </w:rPr>
        <w:br/>
      </w:r>
      <w:r w:rsidRPr="000C2211">
        <w:rPr>
          <w:rFonts w:eastAsia="Times New Roman" w:cs="Arial"/>
          <w:color w:val="282A2E"/>
          <w:lang w:eastAsia="ru-RU"/>
        </w:rPr>
        <w:t xml:space="preserve">в финансовые вложения свободные денежные средства на общую сумму 187 млрд рублей, из них 94% вложений </w:t>
      </w:r>
      <w:r>
        <w:rPr>
          <w:rFonts w:eastAsia="Times New Roman" w:cs="Arial"/>
          <w:color w:val="282A2E"/>
          <w:lang w:eastAsia="ru-RU"/>
        </w:rPr>
        <w:t>—</w:t>
      </w:r>
      <w:r w:rsidRPr="000C2211">
        <w:rPr>
          <w:rFonts w:eastAsia="Times New Roman" w:cs="Arial"/>
          <w:color w:val="282A2E"/>
          <w:lang w:eastAsia="ru-RU"/>
        </w:rPr>
        <w:t xml:space="preserve"> на срок до 1 года. При этом 77% были размещены</w:t>
      </w:r>
      <w:r w:rsidRPr="000C2211">
        <w:rPr>
          <w:color w:val="282A2E"/>
        </w:rPr>
        <w:t xml:space="preserve"> </w:t>
      </w:r>
      <w:r w:rsidRPr="000C2211">
        <w:rPr>
          <w:rFonts w:eastAsia="Times New Roman" w:cs="Arial"/>
          <w:color w:val="282A2E"/>
          <w:lang w:eastAsia="ru-RU"/>
        </w:rPr>
        <w:t xml:space="preserve">в банковские вклады, 16% </w:t>
      </w:r>
      <w:r>
        <w:rPr>
          <w:rFonts w:eastAsia="Times New Roman" w:cs="Arial"/>
          <w:color w:val="282A2E"/>
          <w:lang w:eastAsia="ru-RU"/>
        </w:rPr>
        <w:t>—</w:t>
      </w:r>
      <w:r w:rsidRPr="000C2211">
        <w:rPr>
          <w:rFonts w:eastAsia="Times New Roman" w:cs="Arial"/>
          <w:color w:val="282A2E"/>
          <w:lang w:eastAsia="ru-RU"/>
        </w:rPr>
        <w:t xml:space="preserve"> предоставлены в виде займов. Общий остаток размещ</w:t>
      </w:r>
      <w:r>
        <w:rPr>
          <w:rFonts w:eastAsia="Times New Roman" w:cs="Arial"/>
          <w:color w:val="282A2E"/>
          <w:lang w:eastAsia="ru-RU"/>
        </w:rPr>
        <w:t>ё</w:t>
      </w:r>
      <w:r w:rsidRPr="000C2211">
        <w:rPr>
          <w:rFonts w:eastAsia="Times New Roman" w:cs="Arial"/>
          <w:color w:val="282A2E"/>
          <w:lang w:eastAsia="ru-RU"/>
        </w:rPr>
        <w:t xml:space="preserve">нных финансовых вложений на 1 апреля 2026 года составил 459 млрд рублей, в том числе долгосрочных </w:t>
      </w:r>
      <w:r>
        <w:rPr>
          <w:rFonts w:eastAsia="Times New Roman" w:cs="Arial"/>
          <w:color w:val="282A2E"/>
          <w:lang w:eastAsia="ru-RU"/>
        </w:rPr>
        <w:t>—</w:t>
      </w:r>
      <w:r w:rsidRPr="000C2211">
        <w:rPr>
          <w:rFonts w:eastAsia="Times New Roman" w:cs="Arial"/>
          <w:color w:val="282A2E"/>
          <w:lang w:eastAsia="ru-RU"/>
        </w:rPr>
        <w:t xml:space="preserve"> 367 млрд рублей.</w:t>
      </w:r>
    </w:p>
    <w:p w14:paraId="25B61A08" w14:textId="781CD009" w:rsidR="000C2211" w:rsidRPr="000C2211" w:rsidRDefault="000C2211" w:rsidP="000C2211">
      <w:pPr>
        <w:ind w:firstLine="567"/>
        <w:jc w:val="both"/>
        <w:rPr>
          <w:rFonts w:eastAsia="Times New Roman" w:cs="Arial"/>
          <w:color w:val="282A2E"/>
          <w:lang w:eastAsia="ru-RU"/>
        </w:rPr>
      </w:pPr>
      <w:r w:rsidRPr="000C2211">
        <w:rPr>
          <w:rFonts w:eastAsia="Times New Roman" w:cs="Arial"/>
          <w:color w:val="282A2E"/>
          <w:lang w:eastAsia="ru-RU"/>
        </w:rPr>
        <w:t xml:space="preserve">Вместе с тем доход в 7 млрд рублей (60% доходов от финансовых инвестиций) был получен организациями в 1 квартале 2026 года от долгосрочных финансовых вложений </w:t>
      </w:r>
      <w:r>
        <w:rPr>
          <w:rFonts w:eastAsia="Times New Roman" w:cs="Arial"/>
          <w:color w:val="282A2E"/>
          <w:lang w:eastAsia="ru-RU"/>
        </w:rPr>
        <w:br/>
      </w:r>
      <w:r w:rsidRPr="000C2211">
        <w:rPr>
          <w:rFonts w:eastAsia="Times New Roman" w:cs="Arial"/>
          <w:color w:val="282A2E"/>
          <w:lang w:eastAsia="ru-RU"/>
        </w:rPr>
        <w:t>и 4 млрд рублей – от краткосрочных.</w:t>
      </w:r>
    </w:p>
    <w:p w14:paraId="1163EBB8" w14:textId="5C4E6D7F" w:rsidR="00C32AD1" w:rsidRPr="000C2211" w:rsidRDefault="000C2211" w:rsidP="000C2211">
      <w:pPr>
        <w:ind w:firstLine="567"/>
        <w:jc w:val="both"/>
        <w:rPr>
          <w:rFonts w:eastAsia="Times New Roman" w:cs="Arial"/>
          <w:color w:val="282A2E"/>
          <w:lang w:eastAsia="ru-RU"/>
        </w:rPr>
      </w:pPr>
      <w:r w:rsidRPr="000C2211">
        <w:rPr>
          <w:rFonts w:eastAsia="Times New Roman" w:cs="Arial"/>
          <w:color w:val="282A2E"/>
          <w:lang w:eastAsia="ru-RU"/>
        </w:rPr>
        <w:t>Лидерами по размещению свободных денежных средств стали организации с такими видами деятельности как «Добыча полезных ископаемых» (83 млрд рублей), «Обрабатывающие производства» (34 млрд рублей), «Торговля оптовая и розничная; ремонт автотранспортных средств и мотоциклов» (17 млрд рублей).</w:t>
      </w:r>
    </w:p>
    <w:sectPr w:rsidR="00C32AD1" w:rsidRPr="000C2211" w:rsidSect="006C4618">
      <w:headerReference w:type="default" r:id="rId10"/>
      <w:footerReference w:type="default" r:id="rId11"/>
      <w:pgSz w:w="11906" w:h="16838"/>
      <w:pgMar w:top="567" w:right="851" w:bottom="1134" w:left="1701" w:header="709" w:footer="1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D63BD" w14:textId="77777777" w:rsidR="005F52D2" w:rsidRDefault="005F52D2" w:rsidP="000A4F53">
      <w:pPr>
        <w:spacing w:after="0" w:line="240" w:lineRule="auto"/>
      </w:pPr>
      <w:r>
        <w:separator/>
      </w:r>
    </w:p>
  </w:endnote>
  <w:endnote w:type="continuationSeparator" w:id="0">
    <w:p w14:paraId="08FFD32B" w14:textId="77777777" w:rsidR="005F52D2" w:rsidRDefault="005F52D2" w:rsidP="000A4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Root UI">
    <w:panose1 w:val="020B0303020202020204"/>
    <w:charset w:val="CC"/>
    <w:family w:val="swiss"/>
    <w:pitch w:val="variable"/>
    <w:sig w:usb0="A00002FF" w:usb1="5000E0FF" w:usb2="00000020" w:usb3="00000000" w:csb0="00000097" w:csb1="00000000"/>
  </w:font>
  <w:font w:name="PT Root UI Bold">
    <w:panose1 w:val="020B0603020202020204"/>
    <w:charset w:val="CC"/>
    <w:family w:val="swiss"/>
    <w:pitch w:val="variable"/>
    <w:sig w:usb0="A00002FF" w:usb1="5000E0FF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2562479"/>
      <w:docPartObj>
        <w:docPartGallery w:val="Page Numbers (Bottom of Page)"/>
        <w:docPartUnique/>
      </w:docPartObj>
    </w:sdtPr>
    <w:sdtEndPr>
      <w:rPr>
        <w:rFonts w:ascii="Arial" w:hAnsi="Arial" w:cs="Arial"/>
        <w:color w:val="282A2E" w:themeColor="text1"/>
        <w:sz w:val="24"/>
        <w:szCs w:val="24"/>
      </w:rPr>
    </w:sdtEndPr>
    <w:sdtContent>
      <w:p w14:paraId="14380A9A" w14:textId="60EEE162" w:rsidR="00442CD1" w:rsidRPr="00D55929" w:rsidRDefault="00442CD1" w:rsidP="00442CD1">
        <w:pPr>
          <w:pStyle w:val="a5"/>
          <w:jc w:val="right"/>
          <w:rPr>
            <w:rFonts w:ascii="Arial" w:hAnsi="Arial" w:cs="Arial"/>
            <w:color w:val="282A2E" w:themeColor="text1"/>
            <w:sz w:val="24"/>
            <w:szCs w:val="24"/>
          </w:rPr>
        </w:pP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fldChar w:fldCharType="begin"/>
        </w: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instrText>PAGE   \* MERGEFORMAT</w:instrText>
        </w: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fldChar w:fldCharType="separate"/>
        </w:r>
        <w:r w:rsidR="001730E9">
          <w:rPr>
            <w:rFonts w:ascii="PT Root UI" w:hAnsi="PT Root UI" w:cs="Arial"/>
            <w:noProof/>
            <w:color w:val="282A2E" w:themeColor="text1"/>
            <w:sz w:val="24"/>
            <w:szCs w:val="24"/>
          </w:rPr>
          <w:t>2</w:t>
        </w: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fldChar w:fldCharType="end"/>
        </w:r>
      </w:p>
    </w:sdtContent>
  </w:sdt>
  <w:p w14:paraId="5E7461A5" w14:textId="77777777" w:rsidR="00442CD1" w:rsidRDefault="00442C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0972B" w14:textId="77777777" w:rsidR="005F52D2" w:rsidRDefault="005F52D2" w:rsidP="000A4F53">
      <w:pPr>
        <w:spacing w:after="0" w:line="240" w:lineRule="auto"/>
      </w:pPr>
      <w:r>
        <w:separator/>
      </w:r>
    </w:p>
  </w:footnote>
  <w:footnote w:type="continuationSeparator" w:id="0">
    <w:p w14:paraId="0F28125E" w14:textId="77777777" w:rsidR="005F52D2" w:rsidRDefault="005F52D2" w:rsidP="000A4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1EB44" w14:textId="792F25FF" w:rsidR="000A4F53" w:rsidRPr="000A4F53" w:rsidRDefault="000A4F53" w:rsidP="000A4F53">
    <w:pPr>
      <w:pStyle w:val="a3"/>
      <w:ind w:left="708"/>
      <w:rPr>
        <w:rFonts w:ascii="Arial" w:hAnsi="Arial" w:cs="Arial"/>
        <w:color w:val="0A61AE" w:themeColor="accent1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46A14"/>
    <w:multiLevelType w:val="hybridMultilevel"/>
    <w:tmpl w:val="C2EEB46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B625AE"/>
    <w:multiLevelType w:val="hybridMultilevel"/>
    <w:tmpl w:val="A6FA754A"/>
    <w:lvl w:ilvl="0" w:tplc="FDAEB0E8">
      <w:start w:val="1"/>
      <w:numFmt w:val="decimal"/>
      <w:lvlText w:val="%1."/>
      <w:lvlJc w:val="left"/>
      <w:pPr>
        <w:ind w:left="1287" w:hanging="360"/>
      </w:pPr>
      <w:rPr>
        <w:rFonts w:ascii="PT Root UI" w:hAnsi="PT Root U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AB678FC"/>
    <w:multiLevelType w:val="hybridMultilevel"/>
    <w:tmpl w:val="5BE0FDC6"/>
    <w:lvl w:ilvl="0" w:tplc="6ACEEF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6300D"/>
    <w:multiLevelType w:val="hybridMultilevel"/>
    <w:tmpl w:val="471A47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3475834"/>
    <w:multiLevelType w:val="hybridMultilevel"/>
    <w:tmpl w:val="48E4A724"/>
    <w:lvl w:ilvl="0" w:tplc="B80E6A7C">
      <w:start w:val="1"/>
      <w:numFmt w:val="decimal"/>
      <w:lvlText w:val="%1."/>
      <w:lvlJc w:val="left"/>
      <w:pPr>
        <w:ind w:left="1287" w:hanging="360"/>
      </w:pPr>
      <w:rPr>
        <w:rFonts w:ascii="PT Root UI Bold" w:hAnsi="PT Root UI Bold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38538767">
    <w:abstractNumId w:val="0"/>
  </w:num>
  <w:num w:numId="2" w16cid:durableId="530269000">
    <w:abstractNumId w:val="2"/>
  </w:num>
  <w:num w:numId="3" w16cid:durableId="1083797477">
    <w:abstractNumId w:val="3"/>
  </w:num>
  <w:num w:numId="4" w16cid:durableId="420177202">
    <w:abstractNumId w:val="4"/>
  </w:num>
  <w:num w:numId="5" w16cid:durableId="741833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0CF"/>
    <w:rsid w:val="000403CF"/>
    <w:rsid w:val="0005702E"/>
    <w:rsid w:val="00064901"/>
    <w:rsid w:val="000A4F53"/>
    <w:rsid w:val="000C2211"/>
    <w:rsid w:val="000E6775"/>
    <w:rsid w:val="001730E9"/>
    <w:rsid w:val="001770CE"/>
    <w:rsid w:val="001E4C22"/>
    <w:rsid w:val="001E4FB4"/>
    <w:rsid w:val="001F11DC"/>
    <w:rsid w:val="001F66AB"/>
    <w:rsid w:val="002113E3"/>
    <w:rsid w:val="0021605C"/>
    <w:rsid w:val="00216178"/>
    <w:rsid w:val="002370CF"/>
    <w:rsid w:val="00240DA0"/>
    <w:rsid w:val="002D799B"/>
    <w:rsid w:val="002E36A3"/>
    <w:rsid w:val="002E38E3"/>
    <w:rsid w:val="002E4066"/>
    <w:rsid w:val="002F43A8"/>
    <w:rsid w:val="00312213"/>
    <w:rsid w:val="003248EE"/>
    <w:rsid w:val="003D505E"/>
    <w:rsid w:val="00401FF7"/>
    <w:rsid w:val="0040472D"/>
    <w:rsid w:val="00442CD1"/>
    <w:rsid w:val="00477840"/>
    <w:rsid w:val="004A63C4"/>
    <w:rsid w:val="0050523C"/>
    <w:rsid w:val="005548D8"/>
    <w:rsid w:val="005B3909"/>
    <w:rsid w:val="005F45B8"/>
    <w:rsid w:val="005F52D2"/>
    <w:rsid w:val="00615341"/>
    <w:rsid w:val="0065389D"/>
    <w:rsid w:val="006C4618"/>
    <w:rsid w:val="006D0D8F"/>
    <w:rsid w:val="006D3A24"/>
    <w:rsid w:val="006E0A9C"/>
    <w:rsid w:val="00720C2A"/>
    <w:rsid w:val="007238E9"/>
    <w:rsid w:val="007579C9"/>
    <w:rsid w:val="00775478"/>
    <w:rsid w:val="007C439E"/>
    <w:rsid w:val="007C5BAA"/>
    <w:rsid w:val="0081278D"/>
    <w:rsid w:val="00826E1A"/>
    <w:rsid w:val="00843273"/>
    <w:rsid w:val="008E5D6D"/>
    <w:rsid w:val="00921D17"/>
    <w:rsid w:val="0094288E"/>
    <w:rsid w:val="00946D89"/>
    <w:rsid w:val="009C3F79"/>
    <w:rsid w:val="009C57DA"/>
    <w:rsid w:val="009D2A00"/>
    <w:rsid w:val="00A06F52"/>
    <w:rsid w:val="00A27F77"/>
    <w:rsid w:val="00A6031B"/>
    <w:rsid w:val="00A623A9"/>
    <w:rsid w:val="00A94FD2"/>
    <w:rsid w:val="00AC1973"/>
    <w:rsid w:val="00B4544A"/>
    <w:rsid w:val="00B84188"/>
    <w:rsid w:val="00B859C4"/>
    <w:rsid w:val="00B95517"/>
    <w:rsid w:val="00BB403A"/>
    <w:rsid w:val="00BC1235"/>
    <w:rsid w:val="00BC4D24"/>
    <w:rsid w:val="00BD2ACE"/>
    <w:rsid w:val="00BD3503"/>
    <w:rsid w:val="00C233C9"/>
    <w:rsid w:val="00C32AD1"/>
    <w:rsid w:val="00C965D0"/>
    <w:rsid w:val="00CA0225"/>
    <w:rsid w:val="00CA1919"/>
    <w:rsid w:val="00CB1876"/>
    <w:rsid w:val="00CB55CD"/>
    <w:rsid w:val="00CD688D"/>
    <w:rsid w:val="00CF4783"/>
    <w:rsid w:val="00D01057"/>
    <w:rsid w:val="00D04954"/>
    <w:rsid w:val="00D55929"/>
    <w:rsid w:val="00D55ECE"/>
    <w:rsid w:val="00DA01F7"/>
    <w:rsid w:val="00DB4F2D"/>
    <w:rsid w:val="00DC3D74"/>
    <w:rsid w:val="00E71967"/>
    <w:rsid w:val="00EA5990"/>
    <w:rsid w:val="00F35A65"/>
    <w:rsid w:val="00F37CFA"/>
    <w:rsid w:val="00F438E2"/>
    <w:rsid w:val="00F52E4C"/>
    <w:rsid w:val="00F66F7E"/>
    <w:rsid w:val="00F92F3C"/>
    <w:rsid w:val="00FB7D3B"/>
    <w:rsid w:val="00FD42B8"/>
    <w:rsid w:val="00FE1A54"/>
    <w:rsid w:val="00FE2126"/>
    <w:rsid w:val="00FE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7D9A6F3"/>
  <w15:chartTrackingRefBased/>
  <w15:docId w15:val="{DF3F7893-8DAA-4BD1-A7A6-D753B9E7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4F53"/>
  </w:style>
  <w:style w:type="paragraph" w:styleId="a5">
    <w:name w:val="footer"/>
    <w:basedOn w:val="a"/>
    <w:link w:val="a6"/>
    <w:uiPriority w:val="99"/>
    <w:unhideWhenUsed/>
    <w:rsid w:val="000A4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4F53"/>
  </w:style>
  <w:style w:type="paragraph" w:styleId="a7">
    <w:name w:val="List Paragraph"/>
    <w:basedOn w:val="a"/>
    <w:uiPriority w:val="34"/>
    <w:qFormat/>
    <w:rsid w:val="00D55929"/>
    <w:pPr>
      <w:ind w:left="720"/>
      <w:contextualSpacing/>
    </w:pPr>
  </w:style>
  <w:style w:type="table" w:styleId="a8">
    <w:name w:val="Grid Table Light"/>
    <w:basedOn w:val="a1"/>
    <w:uiPriority w:val="40"/>
    <w:rsid w:val="00D5592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9">
    <w:name w:val="Hyperlink"/>
    <w:basedOn w:val="a0"/>
    <w:uiPriority w:val="99"/>
    <w:unhideWhenUsed/>
    <w:rsid w:val="0065389D"/>
    <w:rPr>
      <w:color w:val="87A9E3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5389D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653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Росстат">
      <a:dk1>
        <a:srgbClr val="282A2E"/>
      </a:dk1>
      <a:lt1>
        <a:srgbClr val="FFFFFF"/>
      </a:lt1>
      <a:dk2>
        <a:srgbClr val="838383"/>
      </a:dk2>
      <a:lt2>
        <a:srgbClr val="BFBFBF"/>
      </a:lt2>
      <a:accent1>
        <a:srgbClr val="0A61AE"/>
      </a:accent1>
      <a:accent2>
        <a:srgbClr val="87A9E3"/>
      </a:accent2>
      <a:accent3>
        <a:srgbClr val="B0C8E7"/>
      </a:accent3>
      <a:accent4>
        <a:srgbClr val="663AB5"/>
      </a:accent4>
      <a:accent5>
        <a:srgbClr val="AD95DB"/>
      </a:accent5>
      <a:accent6>
        <a:srgbClr val="C5B4E2"/>
      </a:accent6>
      <a:hlink>
        <a:srgbClr val="87A9E3"/>
      </a:hlink>
      <a:folHlink>
        <a:srgbClr val="838383"/>
      </a:folHlink>
    </a:clrScheme>
    <a:fontScheme name="Росстат">
      <a:majorFont>
        <a:latin typeface="PT Root UI Bold"/>
        <a:ea typeface=""/>
        <a:cs typeface=""/>
      </a:majorFont>
      <a:minorFont>
        <a:latin typeface="PT Root U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AFD78-FFBB-4AFB-B6A3-8E65AF093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Токарева Екатерина Дмитриевна</dc:creator>
  <cp:keywords/>
  <dc:description/>
  <cp:lastModifiedBy>Елисеева Нина Николаевна</cp:lastModifiedBy>
  <cp:revision>29</cp:revision>
  <cp:lastPrinted>2023-09-04T11:35:00Z</cp:lastPrinted>
  <dcterms:created xsi:type="dcterms:W3CDTF">2023-12-14T10:23:00Z</dcterms:created>
  <dcterms:modified xsi:type="dcterms:W3CDTF">2026-05-26T10:08:00Z</dcterms:modified>
</cp:coreProperties>
</file>