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proofErr w:type="spellStart"/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  <w:proofErr w:type="spellEnd"/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271BE7DC" w:rsidR="00D55929" w:rsidRPr="00615341" w:rsidRDefault="00AC1F25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8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23E15754" w:rsidR="002D799B" w:rsidRPr="00615341" w:rsidRDefault="00AC1F25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ИТОГИ ИНВЕСТИЦИОННОЙ ДЕЯТЕЛЬНОСТИ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br/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ЗА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ЯНВАР</w:t>
      </w: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Ь</w:t>
      </w:r>
      <w:r w:rsidR="005B3909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– МАРТ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</w:t>
      </w:r>
      <w:r w:rsidR="006E0A9C">
        <w:rPr>
          <w:rFonts w:ascii="PT Root UI Bold" w:hAnsi="PT Root UI Bold" w:cs="Arial"/>
          <w:bCs/>
          <w:noProof/>
          <w:color w:val="0A61AE"/>
          <w:sz w:val="32"/>
          <w:szCs w:val="32"/>
        </w:rPr>
        <w:t>202</w:t>
      </w:r>
      <w:r w:rsidR="00CB1876">
        <w:rPr>
          <w:rFonts w:ascii="PT Root UI Bold" w:hAnsi="PT Root UI Bold" w:cs="Arial"/>
          <w:bCs/>
          <w:noProof/>
          <w:color w:val="0A61AE"/>
          <w:sz w:val="32"/>
          <w:szCs w:val="32"/>
        </w:rPr>
        <w:t>6</w:t>
      </w:r>
      <w:r w:rsidR="00843273" w:rsidRPr="00615341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349DB13F" w14:textId="427A3E5C" w:rsidR="00AC1F25" w:rsidRPr="00AC1F25" w:rsidRDefault="00AC1F25" w:rsidP="00AC1F25">
      <w:pPr>
        <w:ind w:firstLine="567"/>
        <w:jc w:val="both"/>
        <w:rPr>
          <w:rFonts w:eastAsia="Calibri" w:cs="Arial"/>
          <w:color w:val="282A2E"/>
        </w:rPr>
      </w:pPr>
      <w:r w:rsidRPr="00AC1F25">
        <w:rPr>
          <w:rFonts w:eastAsia="Calibri" w:cs="Arial"/>
          <w:color w:val="282A2E"/>
        </w:rPr>
        <w:t xml:space="preserve">За первый квартал 2026 года в экономику Удмуртской Республики было вложено </w:t>
      </w:r>
      <w:r w:rsidR="0082298A">
        <w:rPr>
          <w:rFonts w:eastAsia="Calibri" w:cs="Arial"/>
          <w:color w:val="282A2E"/>
        </w:rPr>
        <w:br/>
      </w:r>
      <w:r w:rsidRPr="00AC1F25">
        <w:rPr>
          <w:rFonts w:eastAsia="Calibri" w:cs="Arial"/>
          <w:color w:val="282A2E"/>
        </w:rPr>
        <w:t>30,5 млрд рублей, что в сопоставимой оценке на 24,7% ниже уровня января – марта 2025 года.</w:t>
      </w:r>
    </w:p>
    <w:p w14:paraId="20A585E5" w14:textId="15BEA9DF" w:rsidR="00AC1F25" w:rsidRPr="00AC1F25" w:rsidRDefault="00AC1F25" w:rsidP="00AC1F25">
      <w:pPr>
        <w:ind w:firstLine="567"/>
        <w:jc w:val="both"/>
        <w:rPr>
          <w:rFonts w:eastAsia="Calibri" w:cs="Arial"/>
          <w:color w:val="282A2E"/>
        </w:rPr>
      </w:pPr>
      <w:r w:rsidRPr="00AC1F25">
        <w:rPr>
          <w:rFonts w:eastAsia="Calibri" w:cs="Arial"/>
          <w:color w:val="282A2E"/>
        </w:rPr>
        <w:t>Наибольшая доля в общем объ</w:t>
      </w:r>
      <w:r w:rsidR="00EB42E8">
        <w:rPr>
          <w:rFonts w:eastAsia="Calibri" w:cs="Arial"/>
          <w:color w:val="282A2E"/>
        </w:rPr>
        <w:t>ё</w:t>
      </w:r>
      <w:r w:rsidRPr="00AC1F25">
        <w:rPr>
          <w:rFonts w:eastAsia="Calibri" w:cs="Arial"/>
          <w:color w:val="282A2E"/>
        </w:rPr>
        <w:t xml:space="preserve">ме инвестиций </w:t>
      </w:r>
      <w:r w:rsidR="0082298A">
        <w:rPr>
          <w:rFonts w:eastAsia="Calibri" w:cs="Arial"/>
          <w:color w:val="282A2E"/>
        </w:rPr>
        <w:t>Приволжского федерального округа</w:t>
      </w:r>
      <w:r w:rsidRPr="00AC1F25">
        <w:rPr>
          <w:rFonts w:eastAsia="Calibri" w:cs="Arial"/>
          <w:color w:val="282A2E"/>
        </w:rPr>
        <w:t xml:space="preserve"> приходится на Республику Татарстан (36,7%)</w:t>
      </w:r>
      <w:r w:rsidR="0082298A">
        <w:rPr>
          <w:rFonts w:eastAsia="Calibri" w:cs="Arial"/>
          <w:color w:val="282A2E"/>
        </w:rPr>
        <w:t>, н</w:t>
      </w:r>
      <w:r w:rsidRPr="00AC1F25">
        <w:rPr>
          <w:rFonts w:eastAsia="Calibri" w:cs="Arial"/>
          <w:color w:val="282A2E"/>
        </w:rPr>
        <w:t xml:space="preserve">аименьшая (0,6%) </w:t>
      </w:r>
      <w:r w:rsidR="0082298A">
        <w:rPr>
          <w:rFonts w:eastAsia="Calibri" w:cs="Arial"/>
          <w:color w:val="282A2E"/>
        </w:rPr>
        <w:t>—</w:t>
      </w:r>
      <w:r w:rsidRPr="00AC1F25">
        <w:rPr>
          <w:rFonts w:eastAsia="Calibri" w:cs="Arial"/>
          <w:color w:val="282A2E"/>
        </w:rPr>
        <w:t xml:space="preserve"> Республику Марий Эл. Удмурти</w:t>
      </w:r>
      <w:r w:rsidR="0082298A">
        <w:rPr>
          <w:rFonts w:eastAsia="Calibri" w:cs="Arial"/>
          <w:color w:val="282A2E"/>
        </w:rPr>
        <w:t>я</w:t>
      </w:r>
      <w:r w:rsidRPr="00AC1F25">
        <w:rPr>
          <w:rFonts w:eastAsia="Calibri" w:cs="Arial"/>
          <w:color w:val="282A2E"/>
        </w:rPr>
        <w:t xml:space="preserve"> </w:t>
      </w:r>
      <w:r w:rsidR="0082298A">
        <w:rPr>
          <w:rFonts w:eastAsia="Calibri" w:cs="Arial"/>
          <w:color w:val="282A2E"/>
        </w:rPr>
        <w:t>по этому</w:t>
      </w:r>
      <w:r w:rsidRPr="00AC1F25">
        <w:rPr>
          <w:rFonts w:eastAsia="Calibri" w:cs="Arial"/>
          <w:color w:val="282A2E"/>
        </w:rPr>
        <w:t xml:space="preserve"> показател</w:t>
      </w:r>
      <w:r w:rsidR="0082298A">
        <w:rPr>
          <w:rFonts w:eastAsia="Calibri" w:cs="Arial"/>
          <w:color w:val="282A2E"/>
        </w:rPr>
        <w:t>ю</w:t>
      </w:r>
      <w:r w:rsidRPr="00AC1F25">
        <w:rPr>
          <w:rFonts w:eastAsia="Calibri" w:cs="Arial"/>
          <w:color w:val="282A2E"/>
        </w:rPr>
        <w:t xml:space="preserve"> </w:t>
      </w:r>
      <w:r w:rsidR="0082298A">
        <w:rPr>
          <w:rFonts w:eastAsia="Calibri" w:cs="Arial"/>
          <w:color w:val="282A2E"/>
        </w:rPr>
        <w:t>занимает</w:t>
      </w:r>
      <w:r w:rsidRPr="00AC1F25">
        <w:rPr>
          <w:rFonts w:eastAsia="Calibri" w:cs="Arial"/>
          <w:color w:val="282A2E"/>
        </w:rPr>
        <w:t xml:space="preserve"> 8 мест</w:t>
      </w:r>
      <w:r w:rsidR="0082298A">
        <w:rPr>
          <w:rFonts w:eastAsia="Calibri" w:cs="Arial"/>
          <w:color w:val="282A2E"/>
        </w:rPr>
        <w:t>о</w:t>
      </w:r>
      <w:r w:rsidRPr="00AC1F25">
        <w:rPr>
          <w:rFonts w:eastAsia="Calibri" w:cs="Arial"/>
          <w:color w:val="282A2E"/>
        </w:rPr>
        <w:t xml:space="preserve"> в ПФО</w:t>
      </w:r>
      <w:r w:rsidR="0082298A">
        <w:rPr>
          <w:rFonts w:eastAsia="Calibri" w:cs="Arial"/>
          <w:color w:val="282A2E"/>
        </w:rPr>
        <w:t xml:space="preserve"> (3,3%)</w:t>
      </w:r>
      <w:r w:rsidRPr="00AC1F25">
        <w:rPr>
          <w:rFonts w:eastAsia="Calibri" w:cs="Arial"/>
          <w:color w:val="282A2E"/>
        </w:rPr>
        <w:t>.</w:t>
      </w:r>
    </w:p>
    <w:p w14:paraId="090E6B06" w14:textId="1A0D5428" w:rsidR="00AC1F25" w:rsidRPr="00AC1F25" w:rsidRDefault="00AC1F25" w:rsidP="00AC1F25">
      <w:pPr>
        <w:ind w:firstLine="567"/>
        <w:jc w:val="both"/>
        <w:rPr>
          <w:rFonts w:eastAsia="Calibri" w:cs="Arial"/>
          <w:color w:val="282A2E"/>
        </w:rPr>
      </w:pPr>
      <w:r w:rsidRPr="00AC1F25">
        <w:rPr>
          <w:rFonts w:eastAsia="Calibri" w:cs="Arial"/>
          <w:color w:val="282A2E"/>
        </w:rPr>
        <w:t>Две трети объёма инвестиций Удмуртской Республики (20,6 млрд рублей) составили вложения в основной капитал организаций, не относящихся к субъектам малого предпринимательства. При этом основным источником инвестиций являются собственные средства этих организаций (82%), а в структуре привлечённых средств наибольший объ</w:t>
      </w:r>
      <w:r w:rsidR="00EB42E8">
        <w:rPr>
          <w:rFonts w:eastAsia="Calibri" w:cs="Arial"/>
          <w:color w:val="282A2E"/>
        </w:rPr>
        <w:t>ё</w:t>
      </w:r>
      <w:r w:rsidRPr="00AC1F25">
        <w:rPr>
          <w:rFonts w:eastAsia="Calibri" w:cs="Arial"/>
          <w:color w:val="282A2E"/>
        </w:rPr>
        <w:t xml:space="preserve">м приходится на кредиты банков (1,9 млрд рублей). Также значительные средства </w:t>
      </w:r>
      <w:r w:rsidR="0082298A">
        <w:rPr>
          <w:rFonts w:eastAsia="Calibri" w:cs="Arial"/>
          <w:color w:val="282A2E"/>
        </w:rPr>
        <w:br/>
      </w:r>
      <w:r w:rsidRPr="00AC1F25">
        <w:rPr>
          <w:rFonts w:eastAsia="Calibri" w:cs="Arial"/>
          <w:color w:val="282A2E"/>
        </w:rPr>
        <w:t>на развитие предприятий выделяются из бюджетных средств (1,0 млрд рублей).</w:t>
      </w:r>
    </w:p>
    <w:p w14:paraId="092C8DF0" w14:textId="77777777" w:rsidR="00AC1F25" w:rsidRPr="00AC1F25" w:rsidRDefault="00AC1F25" w:rsidP="00AC1F25">
      <w:pPr>
        <w:pStyle w:val="ab"/>
        <w:spacing w:before="240" w:after="160" w:line="259" w:lineRule="auto"/>
        <w:ind w:firstLine="567"/>
        <w:rPr>
          <w:rFonts w:asciiTheme="minorHAnsi" w:eastAsia="Calibri" w:hAnsiTheme="minorHAnsi" w:cs="Arial"/>
          <w:color w:val="282A2E"/>
          <w:sz w:val="22"/>
          <w:szCs w:val="22"/>
        </w:rPr>
      </w:pPr>
      <w:r w:rsidRPr="00AC1F25">
        <w:rPr>
          <w:rFonts w:asciiTheme="minorHAnsi" w:hAnsiTheme="minorHAnsi" w:cs="Arial"/>
          <w:color w:val="282A2E"/>
          <w:sz w:val="22"/>
          <w:szCs w:val="22"/>
        </w:rPr>
        <w:t xml:space="preserve">В течение первого квартала 2026 года наибольшая часть инвестиций была направлена в обрабатывающие производства и добычу полезных ископаемых, на развитие которых использовано </w:t>
      </w:r>
      <w:r w:rsidRPr="00AC1F25">
        <w:rPr>
          <w:rFonts w:asciiTheme="minorHAnsi" w:eastAsia="Calibri" w:hAnsiTheme="minorHAnsi" w:cs="Arial"/>
          <w:color w:val="282A2E"/>
          <w:sz w:val="22"/>
          <w:szCs w:val="22"/>
        </w:rPr>
        <w:t>соответственно</w:t>
      </w:r>
      <w:r w:rsidRPr="00AC1F25">
        <w:rPr>
          <w:rFonts w:asciiTheme="minorHAnsi" w:hAnsiTheme="minorHAnsi" w:cs="Arial"/>
          <w:color w:val="282A2E"/>
          <w:sz w:val="22"/>
          <w:szCs w:val="22"/>
        </w:rPr>
        <w:t xml:space="preserve"> 34% и 20% объёма капитальных вложений</w:t>
      </w:r>
      <w:r w:rsidRPr="00AC1F25">
        <w:rPr>
          <w:rFonts w:asciiTheme="minorHAnsi" w:eastAsia="Calibri" w:hAnsiTheme="minorHAnsi" w:cs="Arial"/>
          <w:color w:val="282A2E"/>
          <w:sz w:val="22"/>
          <w:szCs w:val="22"/>
        </w:rPr>
        <w:t>.</w:t>
      </w:r>
    </w:p>
    <w:p w14:paraId="1163EBB8" w14:textId="75AD74B6" w:rsidR="00C32AD1" w:rsidRPr="00A94FD2" w:rsidRDefault="00AC1F25" w:rsidP="00AC1F25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AC1F25">
        <w:rPr>
          <w:rFonts w:eastAsia="Calibri" w:cs="Arial"/>
          <w:color w:val="282A2E"/>
        </w:rPr>
        <w:t>На приобретение машин, оборудования, включая хозяйственный инвентарь и другие объекты, организации, не относящиеся к субъектам малого предпринимательства, использовали 39% общего объёма инвестиций, практически треть объ</w:t>
      </w:r>
      <w:r w:rsidR="00EB42E8">
        <w:rPr>
          <w:rFonts w:eastAsia="Calibri" w:cs="Arial"/>
          <w:color w:val="282A2E"/>
        </w:rPr>
        <w:t>ё</w:t>
      </w:r>
      <w:r w:rsidRPr="00AC1F25">
        <w:rPr>
          <w:rFonts w:eastAsia="Calibri" w:cs="Arial"/>
          <w:color w:val="282A2E"/>
        </w:rPr>
        <w:t>ма инвестиций была направлена на возведение нежилых зданий, сооружений и улучшение земель.</w:t>
      </w:r>
    </w:p>
    <w:sectPr w:rsidR="00C32AD1" w:rsidRPr="00A94FD2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3B47" w14:textId="77777777" w:rsidR="00145664" w:rsidRDefault="00145664" w:rsidP="000A4F53">
      <w:pPr>
        <w:spacing w:after="0" w:line="240" w:lineRule="auto"/>
      </w:pPr>
      <w:r>
        <w:separator/>
      </w:r>
    </w:p>
  </w:endnote>
  <w:endnote w:type="continuationSeparator" w:id="0">
    <w:p w14:paraId="440D7A75" w14:textId="77777777" w:rsidR="00145664" w:rsidRDefault="00145664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55FF" w14:textId="77777777" w:rsidR="00145664" w:rsidRDefault="00145664" w:rsidP="000A4F53">
      <w:pPr>
        <w:spacing w:after="0" w:line="240" w:lineRule="auto"/>
      </w:pPr>
      <w:r>
        <w:separator/>
      </w:r>
    </w:p>
  </w:footnote>
  <w:footnote w:type="continuationSeparator" w:id="0">
    <w:p w14:paraId="20AE25A6" w14:textId="77777777" w:rsidR="00145664" w:rsidRDefault="00145664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6775"/>
    <w:rsid w:val="00145664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D799B"/>
    <w:rsid w:val="002E36A3"/>
    <w:rsid w:val="002E38E3"/>
    <w:rsid w:val="002E4066"/>
    <w:rsid w:val="002F43A8"/>
    <w:rsid w:val="00312213"/>
    <w:rsid w:val="003248EE"/>
    <w:rsid w:val="00390516"/>
    <w:rsid w:val="003D505E"/>
    <w:rsid w:val="00401FF7"/>
    <w:rsid w:val="0040472D"/>
    <w:rsid w:val="00442CD1"/>
    <w:rsid w:val="00477840"/>
    <w:rsid w:val="004A63C4"/>
    <w:rsid w:val="0050523C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76492"/>
    <w:rsid w:val="007C439E"/>
    <w:rsid w:val="007C5BAA"/>
    <w:rsid w:val="0081278D"/>
    <w:rsid w:val="0082298A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6031B"/>
    <w:rsid w:val="00A623A9"/>
    <w:rsid w:val="00A94FD2"/>
    <w:rsid w:val="00AC1973"/>
    <w:rsid w:val="00AC1F25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E71967"/>
    <w:rsid w:val="00EA5990"/>
    <w:rsid w:val="00EB42E8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C1F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C1F2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30</cp:revision>
  <cp:lastPrinted>2023-09-04T11:35:00Z</cp:lastPrinted>
  <dcterms:created xsi:type="dcterms:W3CDTF">2023-12-14T10:23:00Z</dcterms:created>
  <dcterms:modified xsi:type="dcterms:W3CDTF">2026-06-08T05:48:00Z</dcterms:modified>
</cp:coreProperties>
</file>