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7E" w:rsidRPr="004D407E" w:rsidRDefault="008B0E25" w:rsidP="003B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8B0E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B45F7" wp14:editId="58E7EB32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07E" w:rsidRPr="004D407E" w:rsidRDefault="004D407E" w:rsidP="004D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57A50" wp14:editId="09D2156C">
                <wp:simplePos x="0" y="0"/>
                <wp:positionH relativeFrom="column">
                  <wp:posOffset>5400040</wp:posOffset>
                </wp:positionH>
                <wp:positionV relativeFrom="paragraph">
                  <wp:posOffset>-366395</wp:posOffset>
                </wp:positionV>
                <wp:extent cx="868680" cy="388620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7E" w:rsidRDefault="0056460D" w:rsidP="004D407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2pt;margin-top:-28.85pt;width:68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ydpgIAABYFAAAOAAAAZHJzL2Uyb0RvYy54bWysVNuO0zAQfUfiHyy/d3Mh7TbRpqu9UIS0&#10;wEoLH+AmTmPh2MZ2my4ICYlXJD6Bj+AFcdlvSP+IsdN2u8ADQqSSa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" stroked="f">
                <v:textbox>
                  <w:txbxContent>
                    <w:p w:rsidR="004D407E" w:rsidRDefault="0056460D" w:rsidP="004D407E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7E" w:rsidRPr="004D407E" w:rsidRDefault="004D407E" w:rsidP="004D40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4D40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D407E" w:rsidRPr="003B0DC4" w:rsidRDefault="004D407E" w:rsidP="003B0DC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4D40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D407E" w:rsidRPr="004D407E" w:rsidRDefault="0056460D" w:rsidP="004D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«22» февраля  </w:t>
      </w:r>
      <w:r w:rsidR="004D407E" w:rsidRPr="004D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 года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№ 38</w:t>
      </w:r>
      <w:r w:rsidR="00797D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4D407E" w:rsidRPr="004D407E" w:rsidRDefault="004D407E" w:rsidP="004D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4D407E" w:rsidRPr="004D407E" w:rsidRDefault="004D407E" w:rsidP="004D4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B0DC4" w:rsidRDefault="004D407E" w:rsidP="003B0D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40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рассмотрении вопроса «О реализации муниципальной программы «Развитие культуры, спорта и молодежной политики» Муниципального образования «Муниципальный округ Воткинский район Удмуртской Республики»</w:t>
      </w:r>
    </w:p>
    <w:p w:rsidR="004D407E" w:rsidRPr="004D407E" w:rsidRDefault="004D407E" w:rsidP="003B0D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D407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 2015-2025 годы, подпрограмма «</w:t>
      </w:r>
      <w:r w:rsidRPr="004D407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Развитие туризма»</w:t>
      </w:r>
    </w:p>
    <w:p w:rsidR="004D407E" w:rsidRPr="004D407E" w:rsidRDefault="004D407E" w:rsidP="004D40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D407E" w:rsidRPr="004D407E" w:rsidRDefault="004D407E" w:rsidP="003B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о реализации муниципальной программы «Развитие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годы, подпрограмма  «</w:t>
      </w: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Развитие туризма», </w:t>
      </w:r>
      <w:r w:rsidR="008B0E25" w:rsidRPr="008B0E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заместителя Главы Администрации муниципального образования «Муниципальный округ Воткинский район Удмуртской Республики» С.А. Кузьминой</w:t>
      </w: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 «Муниципальный округ Воткинск</w:t>
      </w:r>
      <w:r w:rsidR="001A4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Удмуртской Республики»</w:t>
      </w:r>
    </w:p>
    <w:p w:rsidR="004D407E" w:rsidRPr="004D407E" w:rsidRDefault="004D407E" w:rsidP="004D4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4D407E" w:rsidRDefault="004D407E" w:rsidP="004D4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о реализации муниципальной программы «Развитие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годы, подпрограмма «</w:t>
      </w: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туризма»</w:t>
      </w: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(прилагается).</w:t>
      </w:r>
    </w:p>
    <w:p w:rsidR="001A43E3" w:rsidRPr="004D407E" w:rsidRDefault="001A43E3" w:rsidP="001A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4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A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Воткинский район Удмуртской Республики». </w:t>
      </w:r>
    </w:p>
    <w:p w:rsidR="004D407E" w:rsidRPr="004D407E" w:rsidRDefault="001A43E3" w:rsidP="004D407E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4D407E"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Настоящее решение вступает в силу со дня его принятия.</w:t>
      </w:r>
    </w:p>
    <w:p w:rsidR="004D407E" w:rsidRPr="004D407E" w:rsidRDefault="004D407E" w:rsidP="00FD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0DC4" w:rsidRDefault="004D407E" w:rsidP="008B0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</w:t>
      </w:r>
      <w:r w:rsidR="009A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spellStart"/>
      <w:r w:rsidRPr="004D407E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М.В.Ярко</w:t>
      </w:r>
      <w:proofErr w:type="spellEnd"/>
      <w:r w:rsidRPr="004D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407E" w:rsidRPr="008B0E25" w:rsidRDefault="004D407E" w:rsidP="008B0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D407E" w:rsidRPr="004D407E" w:rsidRDefault="004D407E" w:rsidP="004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откинск</w:t>
      </w:r>
      <w:proofErr w:type="spellEnd"/>
    </w:p>
    <w:p w:rsidR="004D407E" w:rsidRPr="004D407E" w:rsidRDefault="008B0E25" w:rsidP="004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 февраля </w:t>
      </w:r>
      <w:r w:rsidR="004D407E"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4D407E" w:rsidRPr="004D407E" w:rsidRDefault="008B0E25" w:rsidP="004D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38</w:t>
      </w:r>
      <w:r w:rsidR="00797D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8B0E25" w:rsidRDefault="008B0E25" w:rsidP="008B0E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Положение </w:t>
      </w:r>
    </w:p>
    <w:p w:rsidR="008B0E25" w:rsidRPr="000C3100" w:rsidRDefault="008B0E25" w:rsidP="008B0E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 Совета депутатов   </w:t>
      </w:r>
    </w:p>
    <w:p w:rsidR="008B0E25" w:rsidRDefault="008B0E25" w:rsidP="008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8B0E25" w:rsidRDefault="008B0E25" w:rsidP="008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 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 февраля 2023 года № 38</w:t>
      </w:r>
      <w:r w:rsidR="00797D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D407E" w:rsidRPr="004D407E" w:rsidRDefault="004D407E" w:rsidP="004D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7E" w:rsidRPr="004D407E" w:rsidRDefault="004D407E" w:rsidP="004D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7E" w:rsidRDefault="004D407E" w:rsidP="004D4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07E">
        <w:rPr>
          <w:rFonts w:ascii="Times New Roman" w:eastAsia="Calibri" w:hAnsi="Times New Roman" w:cs="Times New Roman"/>
          <w:b/>
          <w:bCs/>
          <w:sz w:val="24"/>
          <w:szCs w:val="24"/>
        </w:rPr>
        <w:t>ДОКЛАД</w:t>
      </w:r>
    </w:p>
    <w:p w:rsidR="00ED21A3" w:rsidRPr="004D407E" w:rsidRDefault="00ED21A3" w:rsidP="004D4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407E" w:rsidRPr="008B0E25" w:rsidRDefault="004D407E" w:rsidP="008B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вопроса «О реализации муниципальной программы «</w:t>
      </w:r>
      <w:r w:rsidRPr="004D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</w:t>
      </w: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очередной сессии Совета депутатов</w:t>
      </w:r>
    </w:p>
    <w:p w:rsidR="004D407E" w:rsidRPr="004D407E" w:rsidRDefault="004D407E" w:rsidP="004D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03.5 «Развитие туризма»</w:t>
      </w:r>
      <w:r w:rsidRPr="004D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407E" w:rsidRPr="004D407E" w:rsidRDefault="004D407E" w:rsidP="004D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407E" w:rsidRPr="004D407E" w:rsidRDefault="004D407E" w:rsidP="004D407E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               Подпрограмма «Развитие туризма</w:t>
      </w:r>
      <w:r w:rsidRPr="004D40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входит в Муниципальную программу </w:t>
      </w:r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культуры, спорта и молодежной политики МО «Воткинский район» на 2015-2025, утвержденную Постановлением Администрации МО «Воткинский район» от 02.06.2014 года № 1057. </w:t>
      </w:r>
    </w:p>
    <w:p w:rsidR="004D407E" w:rsidRPr="004D407E" w:rsidRDefault="004D407E" w:rsidP="004D407E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4D407E">
        <w:rPr>
          <w:rFonts w:ascii="Times New Roman" w:eastAsia="Calibri" w:hAnsi="Times New Roman" w:cs="Times New Roman"/>
          <w:sz w:val="24"/>
          <w:szCs w:val="24"/>
        </w:rPr>
        <w:t>В муниципальную программу внесены изменения (Постановление Администрации  МО «Воткинский район» от 02.03.2015 года № 519, Постановление Администрации  МО «Воткинский район» от 02.11.2015 года № 2627-1, Постановление Администрации  МО «Воткинский район» от 30.06.2016 года № 1146, Постановление Администрации  МО «Воткинский район» от 10.01.2020 года № 7, Постановление Администрации  МО «Воткинский район» от 04.03.2022 года № 393, Постановление Администрации  МО «Воткинский район» от 11.04.2022 года № 576, Постановление</w:t>
      </w:r>
      <w:proofErr w:type="gramEnd"/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407E">
        <w:rPr>
          <w:rFonts w:ascii="Times New Roman" w:eastAsia="Calibri" w:hAnsi="Times New Roman" w:cs="Times New Roman"/>
          <w:sz w:val="24"/>
          <w:szCs w:val="24"/>
        </w:rPr>
        <w:t>Администрации  МО «Воткинский район» от 03.11.2021 года № 1238-1, Постановление Администрации МО «Муниципальный округ Воткинский район Удмуртской Республики» от 11.04.2022 года № 527, Постановление Администрации МО «Муниципальный округ Воткинский район Удмуртской Республики» от 20.10.2022 года № 1157).</w:t>
      </w:r>
      <w:proofErr w:type="gramEnd"/>
    </w:p>
    <w:p w:rsidR="004D407E" w:rsidRPr="004D407E" w:rsidRDefault="004D407E" w:rsidP="004D407E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         В 2022 году муниципальной программой предусмотрены средства 4814,0 </w:t>
      </w:r>
      <w:proofErr w:type="spellStart"/>
      <w:r w:rsidRPr="004D407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D407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D407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., из них собственных средств бюджета Воткинского района – 3264,0 </w:t>
      </w:r>
      <w:proofErr w:type="spellStart"/>
      <w:r w:rsidRPr="004D407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., иные источники  1550,0 </w:t>
      </w:r>
      <w:proofErr w:type="spellStart"/>
      <w:r w:rsidRPr="004D407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4D407E">
        <w:rPr>
          <w:rFonts w:ascii="Times New Roman" w:eastAsia="Calibri" w:hAnsi="Times New Roman" w:cs="Times New Roman"/>
          <w:sz w:val="24"/>
          <w:szCs w:val="24"/>
        </w:rPr>
        <w:t>. Фактическое освоение составило 3455,6, из них - бюджет Воткинского района –2788,5, иные источники  - 667,1.</w:t>
      </w:r>
    </w:p>
    <w:p w:rsidR="004D407E" w:rsidRPr="004D407E" w:rsidRDefault="004D407E" w:rsidP="004D407E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Целью данной подпрограммы является создание благоприятных условий для формирования современной </w:t>
      </w:r>
      <w:proofErr w:type="spellStart"/>
      <w:r w:rsidRPr="004D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конкурентноспособной</w:t>
      </w:r>
      <w:proofErr w:type="spellEnd"/>
      <w:r w:rsidRPr="004D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туристкой отрасли на территории Воткинского района</w:t>
      </w:r>
    </w:p>
    <w:p w:rsidR="004D407E" w:rsidRPr="004D407E" w:rsidRDefault="004D407E" w:rsidP="004D407E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Для достижения указанной цели и обеспечения ее результатов определены следующие основные задачи: </w:t>
      </w:r>
    </w:p>
    <w:p w:rsidR="004D407E" w:rsidRPr="004D407E" w:rsidRDefault="004D407E" w:rsidP="004D407E">
      <w:pPr>
        <w:keepNext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Развитие туристической инфраструктуры района</w:t>
      </w:r>
    </w:p>
    <w:p w:rsidR="004D407E" w:rsidRPr="004D407E" w:rsidRDefault="004D407E" w:rsidP="004D407E">
      <w:pPr>
        <w:keepNext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 Рекламно-информационное обеспечение туристской индустрии;</w:t>
      </w:r>
    </w:p>
    <w:p w:rsidR="004D407E" w:rsidRPr="004D407E" w:rsidRDefault="004D407E" w:rsidP="004D407E">
      <w:pPr>
        <w:keepNext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Повышение качества и доступности предоставляемых туристских услуг, увеличение разнообразия турпродуктов;</w:t>
      </w:r>
    </w:p>
    <w:p w:rsidR="004D407E" w:rsidRPr="004D407E" w:rsidRDefault="004D407E" w:rsidP="004D407E">
      <w:pPr>
        <w:tabs>
          <w:tab w:val="left" w:pos="-35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Создание благоприятных условий для развития малого и среднего предпринимательства, привлечение инвестиций в сферу туризма.</w:t>
      </w:r>
    </w:p>
    <w:p w:rsidR="004D407E" w:rsidRPr="004D407E" w:rsidRDefault="004D407E" w:rsidP="004D407E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0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подпрограммы запланированы выполнение основных мероприятий в сфере развития туризма, предполагающих активное продвижение </w:t>
      </w:r>
      <w:proofErr w:type="spellStart"/>
      <w:r w:rsidRPr="004D407E">
        <w:rPr>
          <w:rFonts w:ascii="Times New Roman" w:eastAsia="Calibri" w:hAnsi="Times New Roman" w:cs="Times New Roman"/>
          <w:sz w:val="24"/>
          <w:szCs w:val="24"/>
        </w:rPr>
        <w:lastRenderedPageBreak/>
        <w:t>тур</w:t>
      </w:r>
      <w:proofErr w:type="gramStart"/>
      <w:r w:rsidRPr="004D407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D407E">
        <w:rPr>
          <w:rFonts w:ascii="Times New Roman" w:eastAsia="Calibri" w:hAnsi="Times New Roman" w:cs="Times New Roman"/>
          <w:sz w:val="24"/>
          <w:szCs w:val="24"/>
        </w:rPr>
        <w:t>родуктов</w:t>
      </w:r>
      <w:proofErr w:type="spellEnd"/>
      <w:r w:rsidRPr="004D407E">
        <w:rPr>
          <w:rFonts w:ascii="Times New Roman" w:eastAsia="Calibri" w:hAnsi="Times New Roman" w:cs="Times New Roman"/>
          <w:sz w:val="24"/>
          <w:szCs w:val="24"/>
        </w:rPr>
        <w:t>, совершенствование системы информационного обеспечения населения о культурных событиях и туристических маршрутах.</w:t>
      </w:r>
    </w:p>
    <w:p w:rsidR="004D407E" w:rsidRPr="004D407E" w:rsidRDefault="004D407E" w:rsidP="004D40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Calibri" w:hAnsi="Times New Roman" w:cs="Times New Roman"/>
          <w:sz w:val="24"/>
          <w:szCs w:val="24"/>
        </w:rPr>
        <w:t xml:space="preserve">  В  2022 году туристический </w:t>
      </w: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составил  23 тыс. чел. – это на  10 % больше по сравнению с прошлым годом. В течение года работали   20   туристических маршрутов, проведено 4   событийных  мероприятия. Центр туризма сотрудничал и принимал заявки от 24-х туроператоров. Специалистами Центра предоставлено 149 рекламно-информационных услуг по запросам населения.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целью создания благоприятных условий для развития малого и среднего бизнеса, привлечения инвестиций в сферу туризма, в течение года проводилась работа с предпринимателями по  реализации 5 инвестиционных проектов  на общую сумму свыше 60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«Побег из города»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орохоры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строительство модульных домов;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туристический комплекс «Родина»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олгуры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 строительству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глэмпинга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модульных домов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 строительству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олгуры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проведения крупных событий;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туристический комплекс «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Привайс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починок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Владимировский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форелевая ферма,   строительство модульных домов.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Реализация этих проектов предусматривает расширение номерного фонда (25 модульных домов), создание не менее 10 новых рабочих мест и привлечение налоговых поступлений в бюджет Воткинского района.</w:t>
      </w:r>
    </w:p>
    <w:p w:rsidR="004D407E" w:rsidRPr="004D407E" w:rsidRDefault="004D407E" w:rsidP="004D4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2022  году специалистами Центра была проведена работа по подготовке  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Федеральном конкурсе "Создание новых модульных отелей", проводимом  Ростуризмом - это ТК "Камские дали", "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ТК «Родина».  Два проекта стали победителями.  Объем субсидии составил около 30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общий объем инвестиций 60 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407E" w:rsidRPr="004D407E" w:rsidRDefault="004D407E" w:rsidP="004D40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Центра была организована работа по включению 2-х новых туристических объектов района это: - Конный клуб «Грация» и ТК «Родина» в туристический кластер УР. На основе разработанной концепции были подготовлены презентации данных объектов, что позволило им войти в туристический кластер УР.</w:t>
      </w:r>
    </w:p>
    <w:p w:rsidR="004D407E" w:rsidRPr="004D407E" w:rsidRDefault="004D407E" w:rsidP="004D407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Кроме того, Центр развития туризма, совместно с предпринимателями, реализует туристические  программы:</w:t>
      </w:r>
    </w:p>
    <w:p w:rsidR="004D407E" w:rsidRPr="004D407E" w:rsidRDefault="004D407E" w:rsidP="004D407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«Вкусные истории»    </w:t>
      </w:r>
      <w:proofErr w:type="gram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Пекарня "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Руские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пироги");</w:t>
      </w:r>
    </w:p>
    <w:p w:rsidR="004D407E" w:rsidRPr="004D407E" w:rsidRDefault="004D407E" w:rsidP="004D407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«Сладкий мастер-класс для детей» (Ресторан - кафе "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Элегант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4D407E" w:rsidRPr="004D407E" w:rsidRDefault="004D407E" w:rsidP="004D407E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Музей живых ремесел " (Добрянка").</w:t>
      </w:r>
    </w:p>
    <w:p w:rsidR="004D407E" w:rsidRPr="008B0E25" w:rsidRDefault="004D407E" w:rsidP="008B0E25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Совместно с ИП «Колотов» был разработан новый проект - туристический комплекс "</w:t>
      </w:r>
      <w:proofErr w:type="spellStart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Привайс</w:t>
      </w:r>
      <w:proofErr w:type="spellEnd"/>
      <w:r w:rsidRPr="004D407E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включает в себя строительство модульных домов, туристические экологические маршруты. Данный проект планируется запустить в 2025 году.</w:t>
      </w: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07E">
        <w:rPr>
          <w:rFonts w:ascii="Times New Roman" w:eastAsia="Calibri" w:hAnsi="Times New Roman" w:cs="Times New Roman"/>
          <w:b/>
          <w:sz w:val="24"/>
          <w:szCs w:val="24"/>
        </w:rPr>
        <w:t>Исполнение значений целевых индикаторов подпрограммы:</w:t>
      </w:r>
    </w:p>
    <w:p w:rsidR="004D407E" w:rsidRPr="004D407E" w:rsidRDefault="004D407E" w:rsidP="004D407E">
      <w:pPr>
        <w:keepNext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Количество оказанных туристско-информационных услуг должно составить – 5020 посещений (обращений). </w:t>
      </w:r>
      <w:r w:rsidRPr="004D407E">
        <w:rPr>
          <w:rFonts w:ascii="Times New Roman" w:eastAsia="Calibri" w:hAnsi="Times New Roman" w:cs="Times New Roman"/>
          <w:sz w:val="24"/>
          <w:szCs w:val="24"/>
        </w:rPr>
        <w:t>На 1 января 2023 года показатель составил  –  80%.</w:t>
      </w:r>
    </w:p>
    <w:p w:rsidR="004D407E" w:rsidRPr="004D407E" w:rsidRDefault="004D407E" w:rsidP="004D407E">
      <w:pPr>
        <w:keepNext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07E">
        <w:rPr>
          <w:rFonts w:ascii="Times New Roman" w:eastAsia="Calibri" w:hAnsi="Times New Roman" w:cs="Times New Roman"/>
          <w:sz w:val="24"/>
          <w:szCs w:val="24"/>
        </w:rPr>
        <w:t>Данный показатель характеризует степень популяризации современной туристской отрасли на территории Воткинского района.</w:t>
      </w: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3CA" w:rsidRPr="00C263CA" w:rsidRDefault="00C263CA" w:rsidP="00C263C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263CA">
        <w:rPr>
          <w:rFonts w:ascii="Times New Roman" w:eastAsia="Calibri" w:hAnsi="Times New Roman" w:cs="Times New Roman"/>
          <w:b/>
          <w:sz w:val="24"/>
          <w:szCs w:val="24"/>
        </w:rPr>
        <w:t>Информация по развитию туризма Воткинского района.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Внутренний туризм сегодня становится мощным фактором в развитии регионов, городов и районов,  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>учитывая повышение роли туризма как источника финансовых доходов  всех уровней и  развитию инфраструктуры в эту работу включился и Воткинский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район. В феврале 2019 года был создан «Центр развития туризма», на который возложена  задача  - продвигать имеющийся потенциал и формировать новые туристские предложения для развития въездного туризма.</w:t>
      </w:r>
    </w:p>
    <w:p w:rsidR="00C263CA" w:rsidRPr="00C263CA" w:rsidRDefault="00C263CA" w:rsidP="00C263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На 2023 год туристический поток составляет 23 тыс. чел. – это на 35% больше по сравнению с 2018 годом. Весь этот  поток обеспечивают туристические маршруты и событийные мероприятия. 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>Так Центром развития туризма  было    разработано и сформировано 15 новых туристических маршрутов и программ  такие как  (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Иммерсивный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спектакль променад «Путешествие по нотам», сказочный сити тур «История одного города», Гастрономический тур «Вкусные истории», Вело тур выходного дня на курорте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Костоваты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>, «Июльское мастеровое», «Лесные чудеса на посёлке мастеров», « Екатерининские катания», «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Перевозинский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засол» и др.), а общее количество  действующих туристических маршрутов на территории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района составляет более 20. 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Так же на территории  района проходят 4 основных  туристических  событий (Русь дружинная, Тракторный биатлон, Рок нырок, Конь огонь, которые в свою очередь формируют  весь общий туристический поток </w:t>
      </w:r>
      <w:proofErr w:type="gramEnd"/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>В 2018 году  Воткинский район сотрудничал и принимал заявки от 7-ми туроператоров, к 2023 году эта работа была сильно расширена, а именно, более 20 туроператоров сейчас привозят нам туристов и экскурсантов на наши туристические маршруты и объекты.</w:t>
      </w:r>
    </w:p>
    <w:p w:rsidR="00C263CA" w:rsidRPr="00C263CA" w:rsidRDefault="00C263CA" w:rsidP="00C263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мы уделяем и событийным мероприятиям. 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Так в 2019 году Центр развития туризма принял участие в  Международной национальной премии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Russian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Event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Awards-2019, где занял 1 место  среди   600 презентованных проектов из 62 регионов России в номинации лучшее туристическое события в сфере сельского и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агротуризма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. В 2020 году  вошли в топ 200 лучших событийных мероприятий России, и признаны лучшей федеральной практикой  развития территорий на </w:t>
      </w:r>
      <w:r w:rsidRPr="00C263C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Евразийском ИВЕНТ форуме и </w:t>
      </w:r>
      <w:r w:rsidRPr="00C263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Форуме </w:t>
      </w:r>
      <w:r w:rsidRPr="00C263CA">
        <w:rPr>
          <w:rFonts w:ascii="Times New Roman" w:eastAsia="Calibri" w:hAnsi="Times New Roman" w:cs="Times New Roman"/>
          <w:sz w:val="24"/>
          <w:szCs w:val="24"/>
          <w:lang w:val="en-US"/>
        </w:rPr>
        <w:t>EVENT</w:t>
      </w: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3CA">
        <w:rPr>
          <w:rFonts w:ascii="Times New Roman" w:eastAsia="Calibri" w:hAnsi="Times New Roman" w:cs="Times New Roman"/>
          <w:sz w:val="24"/>
          <w:szCs w:val="24"/>
          <w:lang w:val="en-US"/>
        </w:rPr>
        <w:t>LIFE</w:t>
      </w:r>
      <w:r w:rsidRPr="00C263CA">
        <w:rPr>
          <w:rFonts w:ascii="Times New Roman" w:eastAsia="Calibri" w:hAnsi="Times New Roman" w:cs="Times New Roman"/>
          <w:sz w:val="24"/>
          <w:szCs w:val="24"/>
        </w:rPr>
        <w:t>, проходившем в Санкт-Петербурге.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>В рамках форума бизнес-миссия Удмуртской Республики в Республике  Беларусь,  Министерством экономики УР и Центром развития туризма  Воткинского района было подписано соглашение  о сотрудничестве с  Минским Тракторным заводом в части промышленного туризма и поддержки событийных мероприятий.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>В 2021 году Центр развития туризма принял  участие в Международном      муниципальном форуме стран БРИКС на тему «Развитие спортивной культуры и туристической инфраструктуры в регионах и муниципалитетах», где   Воткинский район был признан одним из лучших районов  по развития туристической инфраструктуры на селе.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В работу по развитию туризма в районе  активнее включаются и индивидуальные предприниматели. 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Так совместно с бизнесом было разработано и сформировано 10 туристических маршрутов и программ  ( Это Курорт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Костваты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Костоваты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 Эко – туристический </w:t>
      </w:r>
      <w:r w:rsidRPr="00C263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 «Добрянка» д.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Болгуры</w:t>
      </w:r>
      <w:proofErr w:type="spellEnd"/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клуб северной ходьбы «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Ходико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>», туристический комплекс «Камские дали», кулинария пекарня «Русские пироги»,  кафе – ресторан  «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Элегант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» и др.)  В рамках сотрудничества в проведении событийных мероприятий Центр развития туризма оказывает услуги по разработке логотипов, афиш, буклетов мероприятия, организации рекламной компании, организации работы с партнёрами, которые привлекают дополнительные средства  на проведение  мероприятия. 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>Центром развития туризма разрабатываются  туристические проекты для представителей бизнеса, в сфере корпоративного, делового, культурно-познавательного, спортивного и сельского  туризма. Таким образом было создано   8 проектов     по строительству новых туристических комплексов (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Сюан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Кушин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Кедровый питомник, форелевая ферма, конный клуб «Грация», Музея живых ремёсел Добрянка д.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Болгуры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>, ТК «Родина, ТК «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Привайс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», термальный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спа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-  комплекс под открытым небом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 )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. Из них   на стадии реализации находится  5 объектов. 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уделяется и развитию туристической инфраструктуре  Воткинского района.  Центр развития туризма  при поддержке Министерства экономки УР и Агентства по развития туризма УР  активно работает и с потенциальными инвесторами. Сегодня реализуются 5 новых инвестиционных проектов  по строительству 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глэмпингов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>, модульных домов и туристических комплексов. Общий объём инвестиций составляет более 60 млн. рублей собственных средств предпринимателей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Волковский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Хорохоры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Болгуры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поч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Владимировский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) Реализация этих проектов позволит увеличить  налоговые поступления в бюджет и создаст более 15 новых рабочих мест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В рамках привлечения инвестиций Центр развития туризма работает  индивидуально с каждым предпринимаем, а именно занимается  подбором земельных участков, разработкой концепции проекта , консультированием по дополнительным  источникам финансирования.</w:t>
      </w:r>
    </w:p>
    <w:p w:rsidR="00C263CA" w:rsidRPr="00C263CA" w:rsidRDefault="00C263CA" w:rsidP="00C263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263CA">
        <w:rPr>
          <w:rFonts w:ascii="Times New Roman" w:eastAsia="Calibri" w:hAnsi="Times New Roman" w:cs="Times New Roman"/>
          <w:sz w:val="24"/>
          <w:szCs w:val="24"/>
        </w:rPr>
        <w:t>Уже в этом году поступило  6 новых заявок от бизнеса по строительству модульных домов и туристических комплексов, с  которыми началась разработка  концепции новых проектов. В планах к 2030 году построить 11 новых  туристических   комплексов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что позволит   создать 50 дополнительных рабочих мест, расширит номерной фонд на более 100 номеров. А общий объём инвестиций в туристическую инфраструктуру Воткинского района приблизительно составит  около 150 млн. рублей.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>В 2022 году в рамках федерального конкурса "Создание новых модульных отелей" от Ростуризма победителями стали 10 туристических объектов УР из них 2 объекта из Воткинского района - это ТК "Камские дали" и курорт "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Костоваты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" что позволило построить 16 модульных домов. Объём привлечённых субсидий составил 30 млн. рублей и дополнительно 30 млн. рублей это собственные средства предпринимателей как 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 данной субсидии. </w:t>
      </w:r>
    </w:p>
    <w:p w:rsidR="00C263CA" w:rsidRPr="00C263CA" w:rsidRDefault="00C263CA" w:rsidP="00C263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3CA">
        <w:rPr>
          <w:rFonts w:ascii="Times New Roman" w:eastAsia="Calibri" w:hAnsi="Times New Roman" w:cs="Times New Roman"/>
          <w:sz w:val="24"/>
          <w:szCs w:val="24"/>
        </w:rPr>
        <w:tab/>
        <w:t>Для  продвижения и медиа узнаваемости наших туристических объектов и природных достопримечательностей в 2020 году Центр развития туризма принял участие в  республиканском проекте «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ДаУр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!»  В этот проект вошли 8 объектов,  на территории которых установлены информационные стенды об описании объекта. (  Мыс любви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Костоваты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 Храм тихвинской иконы Божьей матери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Паздеры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 Свято никольский храм д.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Кукуи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конный клуб Светлое, ТК «Камские дали» Свято успенский женский монастырь с. Перевозное, Парк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Нечкинский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Сидоровы горы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 храм покрова Пресвятой Богородицы с  Июльское)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реализации проекта «Деревня будущего» 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. Пихтовка,   специалистами  Центра развития  туризма  созданы новые туристические программы и событийные мероприятия  для данной территории, что позволит увеличить интерес у гостей и будущих туристов села Пихтовка. </w:t>
      </w:r>
    </w:p>
    <w:p w:rsidR="00C263CA" w:rsidRPr="00C263CA" w:rsidRDefault="00C263CA" w:rsidP="00C263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С учётом того что в Воткинским районе нет своих туристических объектов таких как например Усадьба Тол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Бабая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Шаркан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,  культурно – туристический парк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Донды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Дор,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Глазовский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район сказочная резиденция Бабы Яги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Граховский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район,  музей -  заповедник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Лудорвай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263CA">
        <w:rPr>
          <w:rFonts w:ascii="Times New Roman" w:eastAsia="Calibri" w:hAnsi="Times New Roman" w:cs="Times New Roman"/>
          <w:sz w:val="24"/>
          <w:szCs w:val="24"/>
        </w:rPr>
        <w:t>Завьяловский</w:t>
      </w:r>
      <w:proofErr w:type="spell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район и многих других, которые ежегодно централизованно принимают  десятки тысяч туристов   с позволяющей им инфраструктурой, Воткинский район не отстаёт по экономическим показателям, по привлекательности</w:t>
      </w:r>
      <w:proofErr w:type="gramEnd"/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территории  и  ежегодно находится в десятке лидеров по туристическому потоку.</w:t>
      </w:r>
    </w:p>
    <w:p w:rsidR="00C263CA" w:rsidRPr="00C263CA" w:rsidRDefault="00C263CA" w:rsidP="00C263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263CA">
        <w:rPr>
          <w:rFonts w:ascii="Times New Roman" w:eastAsia="Calibri" w:hAnsi="Times New Roman" w:cs="Times New Roman"/>
          <w:sz w:val="24"/>
          <w:szCs w:val="24"/>
        </w:rPr>
        <w:t>Спасибо за внимание.</w:t>
      </w: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07E" w:rsidRPr="004D407E" w:rsidRDefault="004D407E" w:rsidP="004D40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044" w:rsidRDefault="008D0044"/>
    <w:sectPr w:rsidR="008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7B"/>
    <w:rsid w:val="001A43E3"/>
    <w:rsid w:val="0036797B"/>
    <w:rsid w:val="003B0DC4"/>
    <w:rsid w:val="004D407E"/>
    <w:rsid w:val="0056460D"/>
    <w:rsid w:val="00797D3D"/>
    <w:rsid w:val="008B0E25"/>
    <w:rsid w:val="008D0044"/>
    <w:rsid w:val="009A1A61"/>
    <w:rsid w:val="00C263CA"/>
    <w:rsid w:val="00ED21A3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2023-02-13T12:03:00Z</cp:lastPrinted>
  <dcterms:created xsi:type="dcterms:W3CDTF">2023-02-09T14:08:00Z</dcterms:created>
  <dcterms:modified xsi:type="dcterms:W3CDTF">2023-03-02T06:38:00Z</dcterms:modified>
</cp:coreProperties>
</file>