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DD2" w14:textId="4B8AEFB9" w:rsidR="004A63C4" w:rsidRPr="00615341" w:rsidRDefault="00C233C9" w:rsidP="004A63C4">
      <w:pPr>
        <w:spacing w:after="0"/>
        <w:jc w:val="right"/>
        <w:rPr>
          <w:rFonts w:ascii="PT Root UI Bold" w:hAnsi="PT Root UI Bold" w:cs="Arial"/>
          <w:bCs/>
          <w:color w:val="282A2E" w:themeColor="text1"/>
          <w:sz w:val="20"/>
          <w:szCs w:val="20"/>
        </w:rPr>
      </w:pPr>
      <w:r>
        <w:rPr>
          <w:rFonts w:ascii="Arial" w:hAnsi="Arial" w:cs="Arial"/>
          <w:noProof/>
          <w:color w:val="282A2E"/>
          <w:lang w:eastAsia="ru-RU"/>
        </w:rPr>
        <w:drawing>
          <wp:anchor distT="0" distB="0" distL="114300" distR="114300" simplePos="0" relativeHeight="251656189" behindDoc="0" locked="0" layoutInCell="1" allowOverlap="1" wp14:anchorId="0429939E" wp14:editId="62CBE570">
            <wp:simplePos x="0" y="0"/>
            <wp:positionH relativeFrom="column">
              <wp:posOffset>-288290</wp:posOffset>
            </wp:positionH>
            <wp:positionV relativeFrom="paragraph">
              <wp:posOffset>-276860</wp:posOffset>
            </wp:positionV>
            <wp:extent cx="3389566" cy="1224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фициальный_горизонтальный_черно-бел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566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618" w:rsidRPr="00615341">
        <w:rPr>
          <w:rFonts w:ascii="PT Root UI Bold" w:hAnsi="PT Root UI Bold" w:cs="Arial"/>
          <w:noProof/>
          <w:color w:val="282A2E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C58979F" wp14:editId="7BD133C3">
            <wp:simplePos x="0" y="0"/>
            <wp:positionH relativeFrom="page">
              <wp:align>left</wp:align>
            </wp:positionH>
            <wp:positionV relativeFrom="paragraph">
              <wp:posOffset>-360046</wp:posOffset>
            </wp:positionV>
            <wp:extent cx="737062" cy="10695419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есс-релиз@4x-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62" cy="10695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 xml:space="preserve">Пресс-служба </w:t>
      </w:r>
      <w:r w:rsidR="005B3909">
        <w:rPr>
          <w:rFonts w:ascii="PT Root UI Bold" w:hAnsi="PT Root UI Bold" w:cs="Arial"/>
          <w:bCs/>
          <w:color w:val="282A2E" w:themeColor="text1"/>
          <w:sz w:val="20"/>
          <w:szCs w:val="20"/>
        </w:rPr>
        <w:t>Удмурт</w:t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>стата</w:t>
      </w:r>
    </w:p>
    <w:p w14:paraId="02E54909" w14:textId="0FA29207" w:rsidR="004A63C4" w:rsidRPr="00615341" w:rsidRDefault="004A63C4" w:rsidP="004A63C4">
      <w:pPr>
        <w:spacing w:after="0"/>
        <w:jc w:val="right"/>
        <w:rPr>
          <w:rFonts w:ascii="PT Root UI" w:hAnsi="PT Root UI" w:cs="Arial"/>
          <w:color w:val="282A2E" w:themeColor="text1"/>
          <w:sz w:val="20"/>
          <w:szCs w:val="20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</w:rPr>
        <w:t>Телефон: +7 (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3412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) 6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9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50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35</w:t>
      </w:r>
    </w:p>
    <w:p w14:paraId="312F8648" w14:textId="7D0F6094" w:rsidR="004A63C4" w:rsidRPr="00CB1876" w:rsidRDefault="004A63C4" w:rsidP="004A63C4">
      <w:pPr>
        <w:jc w:val="right"/>
        <w:rPr>
          <w:rFonts w:ascii="PT Root UI" w:hAnsi="PT Root UI" w:cs="Arial"/>
          <w:color w:val="282A2E" w:themeColor="text1"/>
          <w:sz w:val="18"/>
          <w:szCs w:val="18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e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mail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 xml:space="preserve">: </w:t>
      </w:r>
      <w:r w:rsidR="005B3909" w:rsidRPr="00CB1876">
        <w:rPr>
          <w:rFonts w:ascii="PT Root UI" w:hAnsi="PT Root UI" w:cs="Arial"/>
          <w:color w:val="282A2E" w:themeColor="text1"/>
          <w:sz w:val="20"/>
          <w:szCs w:val="20"/>
        </w:rPr>
        <w:t>18.01.2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@</w:t>
      </w:r>
      <w:proofErr w:type="spellStart"/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rosstat</w:t>
      </w:r>
      <w:proofErr w:type="spellEnd"/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gov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proofErr w:type="spellStart"/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ru</w:t>
      </w:r>
      <w:proofErr w:type="spellEnd"/>
    </w:p>
    <w:p w14:paraId="162910DD" w14:textId="1EDB7F74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6DDA1368" w14:textId="0652202A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3F0F8D3C" w14:textId="7A2F3202" w:rsidR="00D55929" w:rsidRPr="00615341" w:rsidRDefault="00843273" w:rsidP="00C965D0">
      <w:pPr>
        <w:pStyle w:val="a3"/>
        <w:spacing w:line="259" w:lineRule="auto"/>
        <w:ind w:right="1985"/>
        <w:rPr>
          <w:rFonts w:ascii="PT Root UI" w:hAnsi="PT Root UI" w:cs="Arial"/>
          <w:noProof/>
          <w:color w:val="282A2E"/>
          <w:sz w:val="26"/>
          <w:szCs w:val="26"/>
        </w:rPr>
      </w:pPr>
      <w:r w:rsidRPr="00615341">
        <w:rPr>
          <w:rFonts w:ascii="PT Root UI" w:hAnsi="PT Root UI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769CF944" w:rsidR="00D55929" w:rsidRPr="00615341" w:rsidRDefault="00B51C92" w:rsidP="00C965D0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PT Root UI Bold" w:hAnsi="PT Root UI Bold" w:cs="Arial"/>
          <w:bCs/>
          <w:noProof/>
          <w:color w:val="282A2E"/>
          <w:sz w:val="26"/>
          <w:szCs w:val="26"/>
        </w:rPr>
      </w:pPr>
      <w:r>
        <w:rPr>
          <w:rFonts w:ascii="PT Root UI Bold" w:hAnsi="PT Root UI Bold" w:cs="Arial"/>
          <w:bCs/>
          <w:noProof/>
          <w:color w:val="282A2E"/>
          <w:sz w:val="26"/>
          <w:szCs w:val="26"/>
        </w:rPr>
        <w:t>24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июн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>я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202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6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,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Ижевск</w:t>
      </w:r>
    </w:p>
    <w:p w14:paraId="4B3BA33F" w14:textId="3C4E4956" w:rsidR="00843273" w:rsidRDefault="00EB559A" w:rsidP="00F438E2">
      <w:pPr>
        <w:jc w:val="both"/>
        <w:rPr>
          <w:rFonts w:ascii="Arial" w:hAnsi="Arial" w:cs="Arial"/>
          <w:color w:val="282A2E"/>
        </w:rPr>
      </w:pPr>
      <w:r>
        <w:rPr>
          <w:rFonts w:ascii="PT Root UI Bold" w:hAnsi="PT Root UI Bold" w:cs="Arial"/>
          <w:bCs/>
          <w:noProof/>
          <w:color w:val="0A61AE"/>
          <w:sz w:val="32"/>
          <w:szCs w:val="32"/>
        </w:rPr>
        <w:t>215 ЛЕТ РОССИЙСКОЙ СТАТИСТИКЕ</w:t>
      </w:r>
    </w:p>
    <w:p w14:paraId="6072C51B" w14:textId="77777777" w:rsidR="008441DB" w:rsidRDefault="008441DB" w:rsidP="00867493">
      <w:pPr>
        <w:autoSpaceDE w:val="0"/>
        <w:autoSpaceDN w:val="0"/>
        <w:adjustRightInd w:val="0"/>
        <w:spacing w:after="0"/>
        <w:ind w:firstLine="567"/>
        <w:jc w:val="both"/>
        <w:rPr>
          <w:rFonts w:cs="Arial"/>
          <w:color w:val="282A2E"/>
        </w:rPr>
      </w:pPr>
    </w:p>
    <w:p w14:paraId="2BAB8694" w14:textId="3BCBEF69" w:rsidR="00EB559A" w:rsidRPr="00867493" w:rsidRDefault="00EB559A" w:rsidP="00EB559A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867493">
        <w:rPr>
          <w:rFonts w:cs="Arial"/>
          <w:color w:val="282A2E"/>
        </w:rPr>
        <w:t xml:space="preserve">Статистика фиксирует прошлое, отражает настоящее и помогает строить будущее. </w:t>
      </w:r>
      <w:r w:rsidR="00867493">
        <w:rPr>
          <w:rFonts w:cs="Arial"/>
          <w:color w:val="282A2E"/>
        </w:rPr>
        <w:br/>
      </w:r>
      <w:r w:rsidRPr="00867493">
        <w:rPr>
          <w:rFonts w:cs="Arial"/>
          <w:color w:val="282A2E"/>
        </w:rPr>
        <w:t xml:space="preserve">На основе </w:t>
      </w:r>
      <w:r w:rsidR="0054617F" w:rsidRPr="00867493">
        <w:rPr>
          <w:rFonts w:cs="Arial"/>
          <w:color w:val="282A2E"/>
        </w:rPr>
        <w:t xml:space="preserve">статистических </w:t>
      </w:r>
      <w:r w:rsidRPr="00867493">
        <w:rPr>
          <w:rFonts w:cs="Arial"/>
          <w:color w:val="282A2E"/>
        </w:rPr>
        <w:t>данных</w:t>
      </w:r>
      <w:r w:rsidR="00BC43DB" w:rsidRPr="00867493">
        <w:rPr>
          <w:rFonts w:cs="Arial"/>
          <w:color w:val="282A2E"/>
        </w:rPr>
        <w:t xml:space="preserve"> органы</w:t>
      </w:r>
      <w:r w:rsidRPr="00867493">
        <w:rPr>
          <w:rFonts w:cs="Arial"/>
          <w:color w:val="282A2E"/>
        </w:rPr>
        <w:t xml:space="preserve"> власти принимают решения </w:t>
      </w:r>
      <w:r w:rsidR="00867493">
        <w:rPr>
          <w:rFonts w:cs="Arial"/>
          <w:color w:val="282A2E"/>
        </w:rPr>
        <w:t>—</w:t>
      </w:r>
      <w:r w:rsidRPr="00867493">
        <w:rPr>
          <w:rFonts w:cs="Arial"/>
          <w:color w:val="282A2E"/>
        </w:rPr>
        <w:t xml:space="preserve"> от планирования бюджета до разработки социальных программ.</w:t>
      </w:r>
    </w:p>
    <w:p w14:paraId="16D8E431" w14:textId="587DE0FF" w:rsidR="00EB559A" w:rsidRPr="00867493" w:rsidRDefault="00BC43DB" w:rsidP="00EB559A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867493">
        <w:rPr>
          <w:rFonts w:cs="Arial"/>
          <w:color w:val="282A2E"/>
        </w:rPr>
        <w:t>О</w:t>
      </w:r>
      <w:r w:rsidR="0054617F" w:rsidRPr="00867493">
        <w:rPr>
          <w:rFonts w:cs="Arial"/>
          <w:color w:val="282A2E"/>
        </w:rPr>
        <w:t xml:space="preserve">фициальной датой образования российской государственной статистики считается </w:t>
      </w:r>
      <w:r w:rsidR="0054617F" w:rsidRPr="00867493">
        <w:rPr>
          <w:rFonts w:cs="Arial"/>
          <w:color w:val="282A2E"/>
        </w:rPr>
        <w:br/>
        <w:t xml:space="preserve">25 июня 1811 года, когда в структуре Министерства полиции появилось официальное </w:t>
      </w:r>
      <w:r w:rsidR="00130351" w:rsidRPr="00867493">
        <w:rPr>
          <w:rFonts w:cs="Arial"/>
          <w:color w:val="282A2E"/>
        </w:rPr>
        <w:t>С</w:t>
      </w:r>
      <w:r w:rsidR="0054617F" w:rsidRPr="00867493">
        <w:rPr>
          <w:rFonts w:cs="Arial"/>
          <w:color w:val="282A2E"/>
        </w:rPr>
        <w:t xml:space="preserve">татистическое отделение. </w:t>
      </w:r>
    </w:p>
    <w:p w14:paraId="56FEDBEF" w14:textId="19AC50B6" w:rsidR="00130351" w:rsidRPr="00867493" w:rsidRDefault="00130351" w:rsidP="00130351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867493">
        <w:rPr>
          <w:rFonts w:cs="Arial"/>
          <w:color w:val="282A2E"/>
        </w:rPr>
        <w:t xml:space="preserve">Своевременные и качественные данные важны всегда, независимо от эпохи </w:t>
      </w:r>
      <w:r w:rsidR="00867493">
        <w:rPr>
          <w:rFonts w:cs="Arial"/>
          <w:color w:val="282A2E"/>
        </w:rPr>
        <w:br/>
      </w:r>
      <w:r w:rsidRPr="00867493">
        <w:rPr>
          <w:rFonts w:cs="Arial"/>
          <w:color w:val="282A2E"/>
        </w:rPr>
        <w:t xml:space="preserve">и политического строя. В советский период при всеобщем государственном контроле статистика использовалась для мониторинга выполнения </w:t>
      </w:r>
      <w:r w:rsidR="00BC43DB" w:rsidRPr="00867493">
        <w:rPr>
          <w:rFonts w:cs="Arial"/>
          <w:color w:val="282A2E"/>
        </w:rPr>
        <w:t xml:space="preserve">пятилетних </w:t>
      </w:r>
      <w:r w:rsidRPr="00867493">
        <w:rPr>
          <w:rFonts w:cs="Arial"/>
          <w:color w:val="282A2E"/>
        </w:rPr>
        <w:t>планов и выявления «узких мест» в экономике.</w:t>
      </w:r>
    </w:p>
    <w:p w14:paraId="3B324D27" w14:textId="02A10720" w:rsidR="00130351" w:rsidRPr="00867493" w:rsidRDefault="00130351" w:rsidP="00130351">
      <w:pPr>
        <w:tabs>
          <w:tab w:val="num" w:pos="720"/>
        </w:tabs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867493">
        <w:rPr>
          <w:rFonts w:cs="Arial"/>
          <w:color w:val="282A2E"/>
        </w:rPr>
        <w:t xml:space="preserve">В годы Великой Отечественной войны </w:t>
      </w:r>
      <w:r w:rsidR="00BC43DB" w:rsidRPr="00867493">
        <w:rPr>
          <w:rFonts w:cs="Arial"/>
          <w:color w:val="282A2E"/>
        </w:rPr>
        <w:t xml:space="preserve">для мобилизации всех ресурсов </w:t>
      </w:r>
      <w:r w:rsidRPr="00867493">
        <w:rPr>
          <w:rFonts w:cs="Arial"/>
          <w:color w:val="282A2E"/>
        </w:rPr>
        <w:t>критически важен был учёт людских резервов, техники, боеприпасов</w:t>
      </w:r>
      <w:r w:rsidR="00BC43DB" w:rsidRPr="00867493">
        <w:rPr>
          <w:rFonts w:cs="Arial"/>
          <w:color w:val="282A2E"/>
        </w:rPr>
        <w:t xml:space="preserve"> и</w:t>
      </w:r>
      <w:r w:rsidRPr="00867493">
        <w:rPr>
          <w:rFonts w:cs="Arial"/>
          <w:color w:val="282A2E"/>
        </w:rPr>
        <w:t xml:space="preserve"> продовольствия.</w:t>
      </w:r>
      <w:r w:rsidR="008441DB" w:rsidRPr="00867493">
        <w:rPr>
          <w:rFonts w:cs="Arial"/>
          <w:color w:val="282A2E"/>
        </w:rPr>
        <w:t xml:space="preserve"> Сбор </w:t>
      </w:r>
      <w:r w:rsidR="00867493">
        <w:rPr>
          <w:rFonts w:cs="Arial"/>
          <w:color w:val="282A2E"/>
        </w:rPr>
        <w:br/>
      </w:r>
      <w:r w:rsidR="008441DB" w:rsidRPr="00867493">
        <w:rPr>
          <w:rFonts w:cs="Arial"/>
          <w:color w:val="282A2E"/>
        </w:rPr>
        <w:t>и обработка данных были максимально ускорены — решения принимались в условиях жёсткого дефицита времени.</w:t>
      </w:r>
    </w:p>
    <w:p w14:paraId="4FD2EAF4" w14:textId="769B0228" w:rsidR="008441DB" w:rsidRPr="00867493" w:rsidRDefault="008441DB" w:rsidP="008441DB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867493">
        <w:rPr>
          <w:rFonts w:cs="Arial"/>
          <w:color w:val="282A2E"/>
        </w:rPr>
        <w:t xml:space="preserve">Мир стремительно меняется и статистика должна успевать за этими переменами. </w:t>
      </w:r>
      <w:r w:rsidR="00BC43DB" w:rsidRPr="00867493">
        <w:rPr>
          <w:rFonts w:cs="Arial"/>
          <w:color w:val="282A2E"/>
        </w:rPr>
        <w:t>Сегодня</w:t>
      </w:r>
      <w:r w:rsidRPr="00867493">
        <w:rPr>
          <w:rFonts w:cs="Arial"/>
          <w:color w:val="282A2E"/>
        </w:rPr>
        <w:t xml:space="preserve"> ежесекундно цифровые платформы, платежные и геолокационные системы, корпоративные базы данных, социальные сети создают непрерывные потоки разрозненных цифровых массивов. Перед статистическим ведомством стоят масштабные задачи </w:t>
      </w:r>
      <w:r w:rsidR="00867493">
        <w:rPr>
          <w:rFonts w:cs="Arial"/>
          <w:color w:val="282A2E"/>
        </w:rPr>
        <w:br/>
      </w:r>
      <w:r w:rsidRPr="00867493">
        <w:rPr>
          <w:rFonts w:cs="Arial"/>
          <w:color w:val="282A2E"/>
        </w:rPr>
        <w:t>на ближайшие годы: перевести переписи и обследования «в цифру», внедрить искусственный интеллект в повседневную работу, повысить производительность труда, сделать более эффективной обратную связь с пользователями и респондентами.</w:t>
      </w:r>
    </w:p>
    <w:p w14:paraId="239B66F1" w14:textId="4E42EBF4" w:rsidR="00BC43DB" w:rsidRPr="00867493" w:rsidRDefault="00BC43DB" w:rsidP="00BC43DB">
      <w:pPr>
        <w:ind w:firstLine="709"/>
        <w:jc w:val="both"/>
        <w:rPr>
          <w:rFonts w:cs="Arial"/>
          <w:color w:val="282A2E"/>
        </w:rPr>
      </w:pPr>
      <w:r w:rsidRPr="00867493">
        <w:rPr>
          <w:rFonts w:cstheme="minorHAnsi"/>
          <w:color w:val="282A2E"/>
        </w:rPr>
        <w:t xml:space="preserve">Все это может быть достигнуто только благодаря высокой ответственности </w:t>
      </w:r>
      <w:r w:rsidR="00867493">
        <w:rPr>
          <w:rFonts w:cstheme="minorHAnsi"/>
          <w:color w:val="282A2E"/>
        </w:rPr>
        <w:br/>
      </w:r>
      <w:r w:rsidRPr="00867493">
        <w:rPr>
          <w:rFonts w:cstheme="minorHAnsi"/>
          <w:color w:val="282A2E"/>
        </w:rPr>
        <w:t xml:space="preserve">и профессионализму сотрудников статистической службы. </w:t>
      </w:r>
      <w:r w:rsidRPr="00867493">
        <w:rPr>
          <w:rFonts w:cs="Arial"/>
          <w:color w:val="282A2E"/>
        </w:rPr>
        <w:t xml:space="preserve">Желаем всем, чья работа связана со сбором и анализом данных, гордости за свой труд, удовлетворенности </w:t>
      </w:r>
      <w:r w:rsidR="00867493">
        <w:rPr>
          <w:rFonts w:cs="Arial"/>
          <w:color w:val="282A2E"/>
        </w:rPr>
        <w:br/>
      </w:r>
      <w:r w:rsidRPr="00867493">
        <w:rPr>
          <w:rFonts w:cs="Arial"/>
          <w:color w:val="282A2E"/>
        </w:rPr>
        <w:t xml:space="preserve">от результата и новых </w:t>
      </w:r>
      <w:r w:rsidR="002C6802" w:rsidRPr="00867493">
        <w:rPr>
          <w:rFonts w:cs="Arial"/>
          <w:color w:val="282A2E"/>
        </w:rPr>
        <w:t>свершений</w:t>
      </w:r>
      <w:r w:rsidRPr="00867493">
        <w:rPr>
          <w:rFonts w:cs="Arial"/>
          <w:color w:val="282A2E"/>
        </w:rPr>
        <w:t>!</w:t>
      </w:r>
    </w:p>
    <w:sectPr w:rsidR="00BC43DB" w:rsidRPr="00867493" w:rsidSect="006C4618">
      <w:headerReference w:type="default" r:id="rId10"/>
      <w:footerReference w:type="default" r:id="rId11"/>
      <w:pgSz w:w="11906" w:h="16838"/>
      <w:pgMar w:top="567" w:right="851" w:bottom="1134" w:left="1701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2FD5B" w14:textId="77777777" w:rsidR="0089109D" w:rsidRDefault="0089109D" w:rsidP="000A4F53">
      <w:pPr>
        <w:spacing w:after="0" w:line="240" w:lineRule="auto"/>
      </w:pPr>
      <w:r>
        <w:separator/>
      </w:r>
    </w:p>
  </w:endnote>
  <w:endnote w:type="continuationSeparator" w:id="0">
    <w:p w14:paraId="43EBBE0D" w14:textId="77777777" w:rsidR="0089109D" w:rsidRDefault="0089109D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Root UI">
    <w:panose1 w:val="020B0303020202020204"/>
    <w:charset w:val="CC"/>
    <w:family w:val="swiss"/>
    <w:pitch w:val="variable"/>
    <w:sig w:usb0="A00002FF" w:usb1="5000E0FF" w:usb2="00000020" w:usb3="00000000" w:csb0="00000097" w:csb1="00000000"/>
  </w:font>
  <w:font w:name="PT Root UI Bold">
    <w:panose1 w:val="020B0603020202020204"/>
    <w:charset w:val="CC"/>
    <w:family w:val="swiss"/>
    <w:pitch w:val="variable"/>
    <w:sig w:usb0="A00002FF" w:usb1="5000E0FF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562479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14:paraId="14380A9A" w14:textId="60EEE162" w:rsidR="00442CD1" w:rsidRPr="00D55929" w:rsidRDefault="00442CD1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begin"/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instrText>PAGE   \* MERGEFORMAT</w:instrTex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separate"/>
        </w:r>
        <w:r w:rsidR="001730E9">
          <w:rPr>
            <w:rFonts w:ascii="PT Root UI" w:hAnsi="PT Root UI" w:cs="Arial"/>
            <w:noProof/>
            <w:color w:val="282A2E" w:themeColor="text1"/>
            <w:sz w:val="24"/>
            <w:szCs w:val="24"/>
          </w:rPr>
          <w:t>2</w: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end"/>
        </w:r>
      </w:p>
    </w:sdtContent>
  </w:sdt>
  <w:p w14:paraId="5E7461A5" w14:textId="77777777" w:rsidR="00442CD1" w:rsidRDefault="00442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0CA1" w14:textId="77777777" w:rsidR="0089109D" w:rsidRDefault="0089109D" w:rsidP="000A4F53">
      <w:pPr>
        <w:spacing w:after="0" w:line="240" w:lineRule="auto"/>
      </w:pPr>
      <w:r>
        <w:separator/>
      </w:r>
    </w:p>
  </w:footnote>
  <w:footnote w:type="continuationSeparator" w:id="0">
    <w:p w14:paraId="456123CA" w14:textId="77777777" w:rsidR="0089109D" w:rsidRDefault="0089109D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EB44" w14:textId="792F25FF" w:rsidR="000A4F53" w:rsidRPr="000A4F53" w:rsidRDefault="000A4F53" w:rsidP="000A4F53">
    <w:pPr>
      <w:pStyle w:val="a3"/>
      <w:ind w:left="708"/>
      <w:rPr>
        <w:rFonts w:ascii="Arial" w:hAnsi="Arial" w:cs="Arial"/>
        <w:color w:val="0A61AE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B625AE"/>
    <w:multiLevelType w:val="hybridMultilevel"/>
    <w:tmpl w:val="A6FA754A"/>
    <w:lvl w:ilvl="0" w:tplc="FDAEB0E8">
      <w:start w:val="1"/>
      <w:numFmt w:val="decimal"/>
      <w:lvlText w:val="%1."/>
      <w:lvlJc w:val="left"/>
      <w:pPr>
        <w:ind w:left="1287" w:hanging="360"/>
      </w:pPr>
      <w:rPr>
        <w:rFonts w:ascii="PT Root UI" w:hAnsi="PT Root U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567BA"/>
    <w:multiLevelType w:val="multilevel"/>
    <w:tmpl w:val="3858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3937491"/>
    <w:multiLevelType w:val="multilevel"/>
    <w:tmpl w:val="4972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F17C06"/>
    <w:multiLevelType w:val="multilevel"/>
    <w:tmpl w:val="7F70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475834"/>
    <w:multiLevelType w:val="hybridMultilevel"/>
    <w:tmpl w:val="48E4A724"/>
    <w:lvl w:ilvl="0" w:tplc="B80E6A7C">
      <w:start w:val="1"/>
      <w:numFmt w:val="decimal"/>
      <w:lvlText w:val="%1."/>
      <w:lvlJc w:val="left"/>
      <w:pPr>
        <w:ind w:left="1287" w:hanging="360"/>
      </w:pPr>
      <w:rPr>
        <w:rFonts w:ascii="PT Root UI Bold" w:hAnsi="PT Root UI Bold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96A4B9B"/>
    <w:multiLevelType w:val="multilevel"/>
    <w:tmpl w:val="5E42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C311BE"/>
    <w:multiLevelType w:val="multilevel"/>
    <w:tmpl w:val="8D6AB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8538767">
    <w:abstractNumId w:val="0"/>
  </w:num>
  <w:num w:numId="2" w16cid:durableId="530269000">
    <w:abstractNumId w:val="2"/>
  </w:num>
  <w:num w:numId="3" w16cid:durableId="1083797477">
    <w:abstractNumId w:val="4"/>
  </w:num>
  <w:num w:numId="4" w16cid:durableId="420177202">
    <w:abstractNumId w:val="7"/>
  </w:num>
  <w:num w:numId="5" w16cid:durableId="741833898">
    <w:abstractNumId w:val="1"/>
  </w:num>
  <w:num w:numId="6" w16cid:durableId="1480459286">
    <w:abstractNumId w:val="3"/>
  </w:num>
  <w:num w:numId="7" w16cid:durableId="1702824348">
    <w:abstractNumId w:val="6"/>
  </w:num>
  <w:num w:numId="8" w16cid:durableId="1821343284">
    <w:abstractNumId w:val="8"/>
  </w:num>
  <w:num w:numId="9" w16cid:durableId="446509487">
    <w:abstractNumId w:val="9"/>
  </w:num>
  <w:num w:numId="10" w16cid:durableId="288587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CF"/>
    <w:rsid w:val="000403CF"/>
    <w:rsid w:val="0005702E"/>
    <w:rsid w:val="00064901"/>
    <w:rsid w:val="0006604E"/>
    <w:rsid w:val="000A4F53"/>
    <w:rsid w:val="000E47EF"/>
    <w:rsid w:val="000E6775"/>
    <w:rsid w:val="000F3B88"/>
    <w:rsid w:val="00130351"/>
    <w:rsid w:val="001730E9"/>
    <w:rsid w:val="001770CE"/>
    <w:rsid w:val="00190ECE"/>
    <w:rsid w:val="001931BF"/>
    <w:rsid w:val="001E4C22"/>
    <w:rsid w:val="001E4FB4"/>
    <w:rsid w:val="001F11DC"/>
    <w:rsid w:val="001F66AB"/>
    <w:rsid w:val="002113E3"/>
    <w:rsid w:val="0021605C"/>
    <w:rsid w:val="00216178"/>
    <w:rsid w:val="002370CF"/>
    <w:rsid w:val="00240DA0"/>
    <w:rsid w:val="002727C8"/>
    <w:rsid w:val="002C6802"/>
    <w:rsid w:val="002C782B"/>
    <w:rsid w:val="002D799B"/>
    <w:rsid w:val="002E36A3"/>
    <w:rsid w:val="002E38E3"/>
    <w:rsid w:val="002E4066"/>
    <w:rsid w:val="002F43A8"/>
    <w:rsid w:val="002F57EC"/>
    <w:rsid w:val="00312213"/>
    <w:rsid w:val="003248EE"/>
    <w:rsid w:val="00365BCF"/>
    <w:rsid w:val="003D505E"/>
    <w:rsid w:val="003F4844"/>
    <w:rsid w:val="00401FF7"/>
    <w:rsid w:val="0040472D"/>
    <w:rsid w:val="004315DD"/>
    <w:rsid w:val="00442CD1"/>
    <w:rsid w:val="00470E76"/>
    <w:rsid w:val="004765E5"/>
    <w:rsid w:val="00477840"/>
    <w:rsid w:val="004A63C4"/>
    <w:rsid w:val="0050523C"/>
    <w:rsid w:val="0051355C"/>
    <w:rsid w:val="0054617F"/>
    <w:rsid w:val="005A6682"/>
    <w:rsid w:val="005B3909"/>
    <w:rsid w:val="005F45B8"/>
    <w:rsid w:val="005F52D2"/>
    <w:rsid w:val="00615341"/>
    <w:rsid w:val="0065389D"/>
    <w:rsid w:val="00690D64"/>
    <w:rsid w:val="006C4618"/>
    <w:rsid w:val="006D0D8F"/>
    <w:rsid w:val="006D3A24"/>
    <w:rsid w:val="006E0A9C"/>
    <w:rsid w:val="0071216F"/>
    <w:rsid w:val="007238E9"/>
    <w:rsid w:val="007579C9"/>
    <w:rsid w:val="00775478"/>
    <w:rsid w:val="007C439E"/>
    <w:rsid w:val="007C5BAA"/>
    <w:rsid w:val="0081278D"/>
    <w:rsid w:val="00826E1A"/>
    <w:rsid w:val="00843273"/>
    <w:rsid w:val="008441DB"/>
    <w:rsid w:val="008529E9"/>
    <w:rsid w:val="00867493"/>
    <w:rsid w:val="0089109D"/>
    <w:rsid w:val="008E4E99"/>
    <w:rsid w:val="008E5D6D"/>
    <w:rsid w:val="00921D17"/>
    <w:rsid w:val="0094288E"/>
    <w:rsid w:val="00946D89"/>
    <w:rsid w:val="0094756C"/>
    <w:rsid w:val="009C3F79"/>
    <w:rsid w:val="009C57DA"/>
    <w:rsid w:val="009D2A00"/>
    <w:rsid w:val="009E7BE4"/>
    <w:rsid w:val="00A06F52"/>
    <w:rsid w:val="00A27F77"/>
    <w:rsid w:val="00A6031B"/>
    <w:rsid w:val="00A623A9"/>
    <w:rsid w:val="00A94FD2"/>
    <w:rsid w:val="00AC1973"/>
    <w:rsid w:val="00B4544A"/>
    <w:rsid w:val="00B51C92"/>
    <w:rsid w:val="00B52EFD"/>
    <w:rsid w:val="00B84188"/>
    <w:rsid w:val="00B859C4"/>
    <w:rsid w:val="00B85AF6"/>
    <w:rsid w:val="00B95517"/>
    <w:rsid w:val="00BB403A"/>
    <w:rsid w:val="00BC1235"/>
    <w:rsid w:val="00BC43DB"/>
    <w:rsid w:val="00BC4D24"/>
    <w:rsid w:val="00BD2ACE"/>
    <w:rsid w:val="00BD3503"/>
    <w:rsid w:val="00C233C9"/>
    <w:rsid w:val="00C32AD1"/>
    <w:rsid w:val="00C965D0"/>
    <w:rsid w:val="00CA0225"/>
    <w:rsid w:val="00CA1919"/>
    <w:rsid w:val="00CB1876"/>
    <w:rsid w:val="00CB55CD"/>
    <w:rsid w:val="00CF4783"/>
    <w:rsid w:val="00D01057"/>
    <w:rsid w:val="00D04954"/>
    <w:rsid w:val="00D347B8"/>
    <w:rsid w:val="00D55929"/>
    <w:rsid w:val="00D55ECE"/>
    <w:rsid w:val="00D758F4"/>
    <w:rsid w:val="00DA01F7"/>
    <w:rsid w:val="00DB4F2D"/>
    <w:rsid w:val="00DC3D74"/>
    <w:rsid w:val="00E61108"/>
    <w:rsid w:val="00E71967"/>
    <w:rsid w:val="00EA5990"/>
    <w:rsid w:val="00EB559A"/>
    <w:rsid w:val="00EE1C53"/>
    <w:rsid w:val="00EF6BF7"/>
    <w:rsid w:val="00F35A65"/>
    <w:rsid w:val="00F37CFA"/>
    <w:rsid w:val="00F438E2"/>
    <w:rsid w:val="00F52E4C"/>
    <w:rsid w:val="00F66F7E"/>
    <w:rsid w:val="00F92F3C"/>
    <w:rsid w:val="00FB7D3B"/>
    <w:rsid w:val="00FD42B8"/>
    <w:rsid w:val="00FE1A54"/>
    <w:rsid w:val="00FE2126"/>
    <w:rsid w:val="00FE7260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A6F3"/>
  <w15:chartTrackingRefBased/>
  <w15:docId w15:val="{DF3F7893-8DAA-4BD1-A7A6-D753B9E7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styleId="a8">
    <w:name w:val="Grid Table Light"/>
    <w:basedOn w:val="a1"/>
    <w:uiPriority w:val="40"/>
    <w:rsid w:val="00D5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65389D"/>
    <w:rPr>
      <w:color w:val="87A9E3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0A61AE"/>
      </a:accent1>
      <a:accent2>
        <a:srgbClr val="87A9E3"/>
      </a:accent2>
      <a:accent3>
        <a:srgbClr val="B0C8E7"/>
      </a:accent3>
      <a:accent4>
        <a:srgbClr val="663AB5"/>
      </a:accent4>
      <a:accent5>
        <a:srgbClr val="AD95DB"/>
      </a:accent5>
      <a:accent6>
        <a:srgbClr val="C5B4E2"/>
      </a:accent6>
      <a:hlink>
        <a:srgbClr val="87A9E3"/>
      </a:hlink>
      <a:folHlink>
        <a:srgbClr val="838383"/>
      </a:folHlink>
    </a:clrScheme>
    <a:fontScheme name="Росстат">
      <a:majorFont>
        <a:latin typeface="PT Root UI Bold"/>
        <a:ea typeface=""/>
        <a:cs typeface=""/>
      </a:majorFont>
      <a:minorFont>
        <a:latin typeface="PT Root U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FD78-FFBB-4AFB-B6A3-8E65AF09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Екатерина Дмитриевна</dc:creator>
  <cp:keywords/>
  <dc:description/>
  <cp:lastModifiedBy>Елисеева Нина Николаевна</cp:lastModifiedBy>
  <cp:revision>7</cp:revision>
  <cp:lastPrinted>2026-06-03T12:10:00Z</cp:lastPrinted>
  <dcterms:created xsi:type="dcterms:W3CDTF">2026-06-23T09:26:00Z</dcterms:created>
  <dcterms:modified xsi:type="dcterms:W3CDTF">2026-06-24T05:47:00Z</dcterms:modified>
</cp:coreProperties>
</file>